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EC77D4" w:rsidRDefault="009D69D3" w:rsidP="00EC77D4">
      <w:pPr>
        <w:pStyle w:val="Nadpis1"/>
        <w:spacing w:before="0" w:line="240" w:lineRule="auto"/>
        <w:rPr>
          <w:rFonts w:eastAsia="Times New Roman"/>
          <w:b/>
          <w:lang w:eastAsia="cs-CZ"/>
        </w:rPr>
      </w:pPr>
      <w:r w:rsidRPr="00EC77D4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  <w:gridCol w:w="118"/>
        <w:gridCol w:w="30"/>
        <w:gridCol w:w="81"/>
      </w:tblGrid>
      <w:tr w:rsidR="00636AD5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</w:t>
            </w:r>
            <w:r w:rsidR="00636AD5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Fakulta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Obor studia</w:t>
            </w:r>
            <w:r w:rsidR="00636AD5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Architektúra</w:t>
            </w:r>
            <w:proofErr w:type="spellEnd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Urbanismus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Úroveň studia v</w:t>
            </w:r>
            <w:r w:rsidR="00636AD5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době pobytu v</w:t>
            </w:r>
            <w:r w:rsidR="00636AD5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</w:t>
            </w:r>
            <w:r w:rsidR="00636AD5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1. stupeň magisterského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štúdia</w:t>
            </w:r>
            <w:proofErr w:type="spellEnd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C77D4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C77D4" w:rsidRPr="00636AD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77D4" w:rsidRPr="00CE678C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EC77D4" w:rsidRDefault="009D69D3" w:rsidP="00EC77D4">
      <w:pPr>
        <w:pStyle w:val="Nadpis1"/>
        <w:spacing w:before="0" w:line="240" w:lineRule="auto"/>
        <w:rPr>
          <w:rFonts w:eastAsia="Times New Roman"/>
          <w:b/>
          <w:lang w:eastAsia="cs-CZ"/>
        </w:rPr>
      </w:pPr>
      <w:r w:rsidRPr="00EC77D4">
        <w:rPr>
          <w:rFonts w:eastAsia="Times New Roman"/>
          <w:b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0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Země: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Čínska</w:t>
            </w:r>
            <w:proofErr w:type="spellEnd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ľudová</w:t>
            </w:r>
            <w:proofErr w:type="spellEnd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636AD5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Název zahraniční školy: </w:t>
            </w:r>
            <w:proofErr w:type="spellStart"/>
            <w:r w:rsidR="00636AD5" w:rsidRP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 w:rsidR="00636AD5" w:rsidRP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Fakulta/katedra/ateliér zahraniční školy</w:t>
            </w:r>
            <w:r w:rsidR="00636AD5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College</w:t>
            </w:r>
            <w:proofErr w:type="spellEnd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Architecture</w:t>
            </w:r>
            <w:proofErr w:type="spellEnd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and Urban </w:t>
            </w:r>
            <w:proofErr w:type="spellStart"/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Planning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Jméno</w:t>
            </w:r>
            <w:r w:rsidR="009D69D3"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koordinátora zahraniční školy</w:t>
            </w:r>
            <w:r w:rsidR="00636AD5"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CB120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B1201"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Shuxn</w:t>
            </w:r>
            <w:proofErr w:type="spellEnd"/>
            <w:r w:rsidR="00CB1201"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B1201"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Liu</w:t>
            </w:r>
            <w:proofErr w:type="spellEnd"/>
            <w:r w:rsidR="00CB1201"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="00CB1201"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Ms</w:t>
            </w:r>
            <w:proofErr w:type="spellEnd"/>
            <w:r w:rsidR="00CB1201"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B1201" w:rsidRDefault="00887907" w:rsidP="00EC77D4">
            <w:pPr>
              <w:pStyle w:val="Nadpis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5F6368"/>
                <w:spacing w:val="5"/>
              </w:rPr>
            </w:pPr>
            <w:r w:rsidRPr="00CB1201">
              <w:rPr>
                <w:rFonts w:asciiTheme="majorHAnsi" w:hAnsiTheme="majorHAnsi"/>
                <w:bCs w:val="0"/>
                <w:sz w:val="24"/>
                <w:szCs w:val="24"/>
              </w:rPr>
              <w:t xml:space="preserve">E-mail </w:t>
            </w:r>
            <w:r w:rsidR="009D69D3" w:rsidRPr="00CB1201">
              <w:rPr>
                <w:rFonts w:asciiTheme="majorHAnsi" w:hAnsiTheme="majorHAnsi"/>
                <w:bCs w:val="0"/>
                <w:sz w:val="24"/>
                <w:szCs w:val="24"/>
              </w:rPr>
              <w:t>koordinátora zahraniční školy</w:t>
            </w:r>
            <w:r w:rsidR="00636AD5" w:rsidRPr="00CB1201">
              <w:rPr>
                <w:rFonts w:asciiTheme="majorHAnsi" w:hAnsiTheme="majorHAnsi"/>
                <w:bCs w:val="0"/>
                <w:sz w:val="24"/>
                <w:szCs w:val="24"/>
              </w:rPr>
              <w:t>:</w:t>
            </w:r>
            <w:r w:rsidR="00636AD5" w:rsidRPr="00636AD5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CB1201" w:rsidRPr="00CB1201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caup@tongji.edu.cn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 zahraniční školy pro výměnné</w:t>
            </w:r>
            <w:r w:rsidR="009D69D3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studenty</w:t>
            </w:r>
            <w:r w:rsidR="00636AD5"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="00636AD5">
                <w:rPr>
                  <w:rStyle w:val="Hypertextovprepojenie"/>
                </w:rPr>
                <w:t>https://caup.tongji.edu.cn/caupen/11021/list.htm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C77D4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C77D4" w:rsidRPr="00636AD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77D4" w:rsidRPr="00CE678C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EC77D4" w:rsidRPr="00EC77D4" w:rsidRDefault="00887907" w:rsidP="00EC77D4">
      <w:pPr>
        <w:pStyle w:val="Nadpis1"/>
        <w:spacing w:before="0" w:line="240" w:lineRule="auto"/>
        <w:rPr>
          <w:rFonts w:eastAsia="Times New Roman"/>
          <w:b/>
          <w:lang w:eastAsia="cs-CZ"/>
        </w:rPr>
      </w:pPr>
      <w:r w:rsidRPr="00EC77D4">
        <w:rPr>
          <w:rFonts w:eastAsia="Times New Roman"/>
          <w:b/>
          <w:lang w:eastAsia="cs-CZ"/>
        </w:rPr>
        <w:t>Studijní pobyt v</w:t>
      </w:r>
      <w:r w:rsidR="00EC77D4">
        <w:rPr>
          <w:rFonts w:eastAsia="Times New Roman"/>
          <w:b/>
          <w:lang w:eastAsia="cs-CZ"/>
        </w:rPr>
        <w:t> </w:t>
      </w:r>
      <w:r w:rsidRPr="00EC77D4">
        <w:rPr>
          <w:rFonts w:eastAsia="Times New Roman"/>
          <w:b/>
          <w:lang w:eastAsia="cs-CZ"/>
        </w:rPr>
        <w:t>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Akademický rok: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Začátek pobytu:</w:t>
            </w:r>
            <w:r w:rsidR="00636AD5" w:rsidRP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25.02.2019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Konec pobytu:</w:t>
            </w:r>
            <w:r w:rsidR="00636AD5" w:rsidRP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05.07.2019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36AD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Délka pobytu v měsících:</w:t>
            </w:r>
            <w:r w:rsidR="00636A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124" w:type="dxa"/>
            <w:vAlign w:val="center"/>
            <w:hideMark/>
          </w:tcPr>
          <w:p w:rsidR="009D69D3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C77D4" w:rsidRPr="00CE678C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EC77D4" w:rsidRPr="00EC77D4" w:rsidRDefault="009D69D3" w:rsidP="00EC77D4">
      <w:pPr>
        <w:pStyle w:val="Nadpis1"/>
        <w:spacing w:before="0" w:line="240" w:lineRule="auto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EC77D4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možnosti vyjet v rámci MBD?</w:t>
            </w:r>
            <w:r w:rsidR="00636AD5"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Od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spolužiakov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vyšších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ročníkov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8657FF" w:rsidRPr="008657FF" w:rsidRDefault="008657FF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C02AA" w:rsidRPr="00CB1201" w:rsidRDefault="00AC02AA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škole</w:t>
            </w:r>
            <w:r w:rsidR="004B736D"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="004B736D"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uveďte odkaz na web)</w:t>
            </w: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CB1201" w:rsidRDefault="00EC77D4" w:rsidP="00EC77D4">
            <w:pPr>
              <w:spacing w:after="0" w:line="240" w:lineRule="auto"/>
              <w:rPr>
                <w:rStyle w:val="Hypertextovprepojenie"/>
              </w:rPr>
            </w:pPr>
            <w:hyperlink r:id="rId6" w:history="1">
              <w:r w:rsidR="00CB1201">
                <w:rPr>
                  <w:rStyle w:val="Hypertextovprepojenie"/>
                </w:rPr>
                <w:t>https://caup.tongji.edu.cn/caupen/11073/list.htm</w:t>
              </w:r>
            </w:hyperlink>
          </w:p>
          <w:p w:rsidR="008657FF" w:rsidRPr="008657FF" w:rsidRDefault="008657FF" w:rsidP="00EC77D4">
            <w:pPr>
              <w:spacing w:after="0" w:line="240" w:lineRule="auto"/>
            </w:pPr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CB1201" w:rsidRDefault="00EC77D4" w:rsidP="00EC77D4">
            <w:pPr>
              <w:spacing w:after="0" w:line="240" w:lineRule="auto"/>
              <w:rPr>
                <w:rStyle w:val="Hypertextovprepojenie"/>
              </w:rPr>
            </w:pPr>
            <w:hyperlink r:id="rId7" w:history="1">
              <w:r w:rsidR="00CB1201">
                <w:rPr>
                  <w:rStyle w:val="Hypertextovprepojenie"/>
                </w:rPr>
                <w:t>https://caup.tongji.edu.cn/caupen/11075/list.htm</w:t>
              </w:r>
            </w:hyperlink>
          </w:p>
          <w:p w:rsidR="008657FF" w:rsidRDefault="008657FF" w:rsidP="00EC77D4">
            <w:pPr>
              <w:spacing w:after="0" w:line="240" w:lineRule="auto"/>
            </w:pPr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Elektronicky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emailom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B9349D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B1201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Anglicky</w:t>
            </w:r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</w:p>
          <w:p w:rsidR="00CE678C" w:rsidRDefault="00CE678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bookmarkStart w:id="1" w:name="OLE_LINK1"/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B9349D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Študijný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 na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zahraničnej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univerzite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Default="00CE678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B9349D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viz. webové stránky ČVUT</w:t>
            </w:r>
          </w:p>
          <w:p w:rsidR="00B9349D" w:rsidRPr="00CB1201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odporúčam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navštíviť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</w:t>
            </w:r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zové centrum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čo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najskôr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obdržaní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dokument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ov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Admission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Notice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Visa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application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priamo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Ďalšie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ohľadom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postupu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vybavovania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víz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ďalších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potrebných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dokumentov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8" w:history="1">
              <w:r>
                <w:rPr>
                  <w:rStyle w:val="Hypertextovprepojenie"/>
                </w:rPr>
                <w:t>http://www.chinaembassy.cz/cze/lsyw/</w:t>
              </w:r>
            </w:hyperlink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CB699C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Cestovné </w:t>
            </w:r>
            <w:proofErr w:type="spellStart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poistenie</w:t>
            </w:r>
            <w:proofErr w:type="spellEnd"/>
            <w:r w:rsidRP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Union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Po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príchode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 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íny dostane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ďalšie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stenie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ktoré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požaduje. Obe sú povinné!</w:t>
            </w:r>
          </w:p>
          <w:p w:rsidR="00CB1201" w:rsidRP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CB1201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B12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Potřeboval/a jste nějaké očkování?</w:t>
            </w:r>
          </w:p>
          <w:p w:rsidR="00E85AF4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Odporúčam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zavolať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svojmu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lekárovi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skonzultovať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očkovanie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mal</w:t>
            </w:r>
            <w:proofErr w:type="spellEnd"/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aj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keď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môjho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výjazdu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povinné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nebolo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CB1201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EC77D4" w:rsidRPr="00EC77D4" w:rsidRDefault="00E85AF4" w:rsidP="00EC77D4">
            <w:pPr>
              <w:pStyle w:val="Nadpis1"/>
              <w:spacing w:before="0" w:line="24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EC77D4" w:rsidRDefault="00E85AF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C201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  <w:r w:rsidR="008657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Letenku </w:t>
            </w:r>
            <w:proofErr w:type="spellStart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kúpiť</w:t>
            </w:r>
            <w:proofErr w:type="spellEnd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čo</w:t>
            </w:r>
            <w:proofErr w:type="spellEnd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najskôr</w:t>
            </w:r>
            <w:proofErr w:type="spellEnd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obdržaní</w:t>
            </w:r>
            <w:proofErr w:type="spellEnd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pozývacieho</w:t>
            </w:r>
            <w:proofErr w:type="spellEnd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listu z </w:t>
            </w:r>
            <w:proofErr w:type="spellStart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 w:rsid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EC77D4" w:rsidRDefault="00E85AF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8C201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Procedura na hranicích - co mít u </w:t>
            </w:r>
            <w:proofErr w:type="gramStart"/>
            <w:r w:rsidRPr="008C201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sebe</w:t>
            </w:r>
            <w:r w:rsidR="008657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657FF" w:rsidRPr="008657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proofErr w:type="gramEnd"/>
          </w:p>
          <w:p w:rsidR="00EC77D4" w:rsidRDefault="008C2019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Pas, </w:t>
            </w:r>
            <w:proofErr w:type="gramStart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platné víza</w:t>
            </w:r>
            <w:proofErr w:type="gramEnd"/>
          </w:p>
          <w:p w:rsidR="00E85AF4" w:rsidRDefault="00E85AF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8C201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Pick up nebo samostatná cesta z letiště.</w:t>
            </w:r>
          </w:p>
          <w:p w:rsidR="008C2019" w:rsidRPr="00EB0CD6" w:rsidRDefault="00EB0CD6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Samostatná cest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a.</w:t>
            </w: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Najlacnejšia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varianta je metro (v noci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nepremáva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  <w:r w:rsid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="00CB12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</w:t>
            </w:r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rípadne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taxík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ktorý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nájdete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budete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sledovať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značenie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letisku (ignorujte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taxikárov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ktorí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budú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behať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presvedčať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Vás</w:t>
            </w:r>
            <w:proofErr w:type="gram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aby </w:t>
            </w:r>
            <w:proofErr w:type="spellStart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ste</w:t>
            </w:r>
            <w:proofErr w:type="spellEnd"/>
            <w:r w:rsidR="008C2019" w:rsidRPr="008C20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šli s nimi)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85AF4" w:rsidRPr="00CE678C" w:rsidRDefault="00E85AF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EC77D4">
      <w:pPr>
        <w:pStyle w:val="Nadpis1"/>
        <w:spacing w:before="0" w:line="240" w:lineRule="auto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EB0CD6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Měnil/a jste během pobytu studijní plán?</w:t>
            </w:r>
          </w:p>
          <w:p w:rsidR="00AC02AA" w:rsidRDefault="00AC02AA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do polovice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semestr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mohol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prid</w:t>
            </w:r>
            <w:r w:rsid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ávať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alebo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odob</w:t>
            </w:r>
            <w:r w:rsid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erať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kur</w:t>
            </w:r>
            <w:r w:rsid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zy.</w:t>
            </w:r>
          </w:p>
          <w:p w:rsidR="00CB1201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C02AA" w:rsidRPr="00CE678C" w:rsidRDefault="00AC02AA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EB0CD6" w:rsidRDefault="00EB0CD6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Registrácia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prebieha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cez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web univerzity. Po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príchode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ám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dajú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kód,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</w:t>
            </w: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rým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prihlásite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 systému a budete si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môcť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vybrať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predmety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Na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stránkach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fakulty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nájdete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vyučované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predmety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ateliér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</w:t>
            </w: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dporúčam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kontaktovať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vedúceho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ateliéru a</w:t>
            </w: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nap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</w:t>
            </w: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sať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vopred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email s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priloženým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portfoliom</w:t>
            </w:r>
            <w:proofErr w:type="spellEnd"/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pretože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kapacita je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obmedzená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do dobrých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ateliérov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hlási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veľa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ľudí</w:t>
            </w:r>
            <w:proofErr w:type="spellEnd"/>
            <w:r w:rsidRPr="00EB0C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EB0CD6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C02AA" w:rsidRPr="00CE678C" w:rsidRDefault="00AC02AA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EB0CD6" w:rsidRPr="008657FF" w:rsidRDefault="00EB0CD6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Urban </w:t>
            </w:r>
            <w:proofErr w:type="spellStart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sociology</w:t>
            </w:r>
            <w:proofErr w:type="spellEnd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veľmi zaujímavý predmet s vynikajúcim profesor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</w:t>
            </w:r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m, ktorý študoval na </w:t>
            </w:r>
            <w:proofErr w:type="spellStart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Harvarde</w:t>
            </w:r>
            <w:proofErr w:type="spellEnd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 Súčasťou kurzu je pár výletov a p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</w:t>
            </w:r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ednášky hosťujúcich pedagógov z</w:t>
            </w:r>
            <w:r w:rsidR="00CB1201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 prestížn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y</w:t>
            </w:r>
            <w:r w:rsidR="00CB1201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ch univerzít z celého s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</w:t>
            </w:r>
            <w:r w:rsidR="00CB1201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ta.</w:t>
            </w:r>
          </w:p>
          <w:p w:rsidR="00EB0CD6" w:rsidRDefault="00CB1201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Modern</w:t>
            </w:r>
            <w:proofErr w:type="spellEnd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Chinese</w:t>
            </w:r>
            <w:proofErr w:type="spellEnd"/>
            <w:r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Architecture </w:t>
            </w:r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– súčasťou predmetu bolo čítanie odborných textov, návšteva významných svetových ateliérov ako </w:t>
            </w:r>
            <w:proofErr w:type="spellStart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Norman</w:t>
            </w:r>
            <w:proofErr w:type="spellEnd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Foster</w:t>
            </w:r>
            <w:proofErr w:type="spellEnd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Arata</w:t>
            </w:r>
            <w:proofErr w:type="spellEnd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Isozaki a </w:t>
            </w:r>
            <w:proofErr w:type="spellStart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Arup</w:t>
            </w:r>
            <w:proofErr w:type="spellEnd"/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Na konci semestra </w:t>
            </w:r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lastRenderedPageBreak/>
              <w:t>sme počas v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í</w:t>
            </w:r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kendu navštívili čínske dedinské oblasti, kde sme videli mnoho nových architektonických projektov, o kt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</w:t>
            </w:r>
            <w:r w:rsidR="008657FF" w:rsidRPr="008657F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rých sme následne písali záverečnú semestrálnu prácu</w:t>
            </w:r>
            <w:r w:rsidR="008657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4D281B" w:rsidRPr="008657FF" w:rsidRDefault="004D281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B0CD6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EB0CD6" w:rsidRDefault="00EB0CD6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4D281B" w:rsidRPr="00CE678C" w:rsidRDefault="004D281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EB0CD6" w:rsidRDefault="00EB0CD6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Veľmi odlišný</w:t>
            </w:r>
            <w:r w:rsid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 N</w:t>
            </w:r>
            <w:r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rozdiel od FA ČVUT, ktorá je orientovaná </w:t>
            </w:r>
            <w:r w:rsidR="009135EF"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najmä </w:t>
            </w:r>
            <w:r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 praktickú stránku výuky</w:t>
            </w:r>
            <w:r w:rsid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boli p</w:t>
            </w:r>
            <w:r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redmety na Tongji pre z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</w:t>
            </w:r>
            <w:r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hraničných študentov najmä te</w:t>
            </w:r>
            <w:r w:rsid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oretické. Pre mňa to </w:t>
            </w:r>
            <w:r w:rsidR="009135EF"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bola p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</w:t>
            </w:r>
            <w:r w:rsidR="009135EF"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íjemná zm</w:t>
            </w:r>
            <w:r w:rsid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</w:t>
            </w:r>
            <w:r w:rsidR="009135EF" w:rsidRPr="009135E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</w:t>
            </w:r>
            <w:r w:rsid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skvelá skúsenosť s iným akademickým prístupom.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  <w:p w:rsidR="00EB0CD6" w:rsidRPr="00CE678C" w:rsidRDefault="00EB0CD6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kvalita výuky na zahraniční škole ve srovnání s domácí?</w:t>
            </w:r>
          </w:p>
          <w:p w:rsidR="00EB0CD6" w:rsidRDefault="004D281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Ťažko posúdiť kvalitu, rozdiely vo výuke boli p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</w:t>
            </w:r>
            <w:r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íliš veľké.</w:t>
            </w:r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Výhodou </w:t>
            </w:r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je, že Tongji je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prestížna univerzita a prichádza tam prednášať mnoho zahraničn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ý</w:t>
            </w:r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ch akademikov a praktizujúcich architektov z celého sv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</w:t>
            </w:r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ta – </w:t>
            </w:r>
            <w:proofErr w:type="spellStart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Arata</w:t>
            </w:r>
            <w:proofErr w:type="spellEnd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Isozaki, </w:t>
            </w:r>
            <w:proofErr w:type="spellStart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Mario</w:t>
            </w:r>
            <w:proofErr w:type="spellEnd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Botta</w:t>
            </w:r>
            <w:proofErr w:type="spellEnd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Mecanoo</w:t>
            </w:r>
            <w:proofErr w:type="spellEnd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atd</w:t>
            </w:r>
            <w:proofErr w:type="spellEnd"/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  <w:r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007993"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Počas semestra sa taktiež konala rada medzinárodných konferencií</w:t>
            </w:r>
            <w:r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kt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</w:t>
            </w:r>
            <w:r w:rsidRPr="004D281B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rých sa mohli študenti zúčastňovať.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 FA ČVUT je naopak obrovskou výhodou, že väčšina vyučujúcich sú ľudia z praxe.</w:t>
            </w:r>
          </w:p>
          <w:p w:rsidR="00EC77D4" w:rsidRPr="004D281B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  <w:p w:rsidR="004D281B" w:rsidRPr="00CE678C" w:rsidRDefault="004D281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007993" w:rsidRDefault="0000799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Bolo nutné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samostatne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zakúpiť</w:t>
            </w:r>
            <w:proofErr w:type="spellEnd"/>
            <w:r w:rsidR="004C75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007993" w:rsidRPr="00EB0CD6" w:rsidRDefault="0000799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Jaká je vybavenost </w:t>
            </w:r>
            <w:r w:rsidR="00E85AF4"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kampusu</w:t>
            </w: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007993" w:rsidRDefault="0000799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Vynikajúca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kampus je ú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</w:t>
            </w:r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asný. Je to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klaster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viacer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ý</w:t>
            </w:r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fakúlt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univerzity, s 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perfektnou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vybavenosťou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Priamo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kampuse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nachádza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kolej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asi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tri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minúty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chôdze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 fakulty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</w:t>
            </w:r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ry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V kampuse je asi 5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menzí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veľké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športoviská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park </w:t>
            </w:r>
            <w:proofErr w:type="spellStart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atď</w:t>
            </w:r>
            <w:proofErr w:type="spellEnd"/>
            <w:r w:rsidRPr="00007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007993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07993" w:rsidRPr="00EB0CD6" w:rsidRDefault="0000799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B0C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151FBB" w:rsidRDefault="00151FB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Prístup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internet je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dosť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chabý,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odporúčam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kúpiť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čínsku SIM,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ktorú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aj 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</w:t>
            </w:r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 budete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potreb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</w:t>
            </w:r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vať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Dá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ľahko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zakúpiť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priamo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kampuse spolu s internetovým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pripojením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priestoroch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školy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eduroam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občas ale nefunguje.</w:t>
            </w:r>
          </w:p>
          <w:p w:rsidR="00151FBB" w:rsidRDefault="00151FB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Potreba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vlastného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laptopu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samozrejmosť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151FBB" w:rsidRDefault="00151FB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Tisk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kopírovanie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sú možné v kampuse univerzity.</w:t>
            </w:r>
          </w:p>
          <w:p w:rsidR="00151FBB" w:rsidRDefault="00151FB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1FBB" w:rsidRPr="00151FBB" w:rsidRDefault="00151FB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BB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51F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151FBB" w:rsidRDefault="00151FB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počas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semestru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konala rada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výletov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workshopov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konferencií</w:t>
            </w:r>
            <w:proofErr w:type="spellEnd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prednášok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151FBB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151FBB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51F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151FBB" w:rsidRDefault="00151FBB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niektoré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predmety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sme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mali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domácími </w:t>
            </w:r>
            <w:proofErr w:type="spellStart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študentmi</w:t>
            </w:r>
            <w:proofErr w:type="spellEnd"/>
            <w:r w:rsidRPr="00151F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EC77D4" w:rsidRPr="00151FBB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EC77D4">
      <w:pPr>
        <w:spacing w:after="0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jste během studijního pobytu bydlel/a?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Kolej v kampuse.</w:t>
            </w:r>
          </w:p>
          <w:p w:rsidR="00EC77D4" w:rsidRPr="001D186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D1865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Cena Vašeho ubytování – měsíčně.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Zavisí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type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izby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balkónom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bez balkónu, single, double) Mne bola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pridelená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double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izba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bez balkónu za 1200 RMB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mesačne</w:t>
            </w:r>
            <w:proofErr w:type="spellEnd"/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v Šanghaji úžasná cena za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decentnú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izbu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D1865" w:rsidRPr="00CE678C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Kolej je blízko školy, v kampuse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</w:t>
            </w:r>
            <w:r w:rsidR="0050214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ebuje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</w:p>
          <w:p w:rsidR="00EC77D4" w:rsidRPr="00CE678C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Univerzita kontaktuje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 možnosti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bývania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koleji.</w:t>
            </w:r>
          </w:p>
          <w:p w:rsidR="00EC77D4" w:rsidRPr="00CE678C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865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stravování studentů v místě pobytu</w:t>
            </w:r>
            <w:r w:rsid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kampuse je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veľké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množstv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menz a drobných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bufetov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minim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rketov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V okolí kampusu je kopa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reštaurácií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výhodné ceny.</w:t>
            </w:r>
          </w:p>
          <w:p w:rsidR="00EC77D4" w:rsidRPr="001D186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865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</w:t>
            </w:r>
            <w:r w:rsidR="00831986"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é jsou orientační ceny potravin? </w:t>
            </w: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(porovnejte s cenami v ČR)</w:t>
            </w:r>
          </w:p>
          <w:p w:rsidR="00B9349D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Zahraničné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importované suroviny,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ktoré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sú u nás v 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Európe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bežné</w:t>
            </w:r>
            <w:proofErr w:type="spellEnd"/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sú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naopak</w:t>
            </w: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Číne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omnoho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drahšie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V čínských supermarketech sú ceny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prijateľné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1D186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D1865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místní dopravy</w:t>
            </w:r>
            <w:r w:rsidR="00831986"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(MHD</w:t>
            </w:r>
            <w:r w:rsidR="00831986"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kolo, pěšky, orientační ceny)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Metro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lacné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najr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chlejšie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Cez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aplikáciu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Mobike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vezmete kolo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každom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rohu. Taxíky sú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porovnani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Európov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lacné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Rýchlovlaky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dajú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kúpiť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rozumnú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cenu.</w:t>
            </w:r>
          </w:p>
          <w:p w:rsidR="00EC77D4" w:rsidRPr="00CE678C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EC77D4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Záleží na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dobe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pobytu. Na jeden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semester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X2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vízami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stačí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vyplniť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pár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papierov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koleji a v 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zahraničnej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kancelárií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fakulty. S X1 na rok je to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zložitejšie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najdete na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stránkach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centra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vydávanie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víz)</w:t>
            </w:r>
            <w:r w:rsidR="0050214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D1865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B9349D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</w:p>
          <w:p w:rsidR="00EC77D4" w:rsidRPr="00B9349D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D1865" w:rsidRPr="00CE678C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Pracoval/a jste během studia?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</w:p>
          <w:p w:rsidR="00EC77D4" w:rsidRPr="00CE678C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X1 víza tzn.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celoročné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štúdium</w:t>
            </w:r>
            <w:proofErr w:type="spellEnd"/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EC77D4" w:rsidRPr="001D186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Tipy na využití volného času (sport; kultu</w:t>
            </w:r>
            <w:r w:rsidR="00831986"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ra; výlety; finanční náročnost).</w:t>
            </w:r>
          </w:p>
          <w:p w:rsid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Šhanghai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skvelé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město plné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kvalitnej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ako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historickej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tak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modernej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</w:t>
            </w:r>
            <w:r w:rsidR="0050214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ry</w:t>
            </w:r>
            <w:proofErr w:type="spellEnd"/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</w:t>
            </w:r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rou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oplatí po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meste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cestovať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Rýchlovlakom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ľahko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dostanete do okolitých </w:t>
            </w:r>
            <w:proofErr w:type="spellStart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miest</w:t>
            </w:r>
            <w:proofErr w:type="spellEnd"/>
            <w:r w:rsidRPr="001D18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kampuse je mnoho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príležitostí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spoznať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iných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zúčastňovať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vo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ľ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nočasových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kurzov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výletov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... </w:t>
            </w:r>
          </w:p>
          <w:p w:rsidR="00EC77D4" w:rsidRPr="001D186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EC77D4">
      <w:pPr>
        <w:spacing w:after="0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:rsidR="004C75A8" w:rsidRPr="004C75A8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4C75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Štipendium</w:t>
            </w:r>
            <w:proofErr w:type="spellEnd"/>
            <w:r w:rsidRPr="004C75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ČVUT, </w:t>
            </w:r>
            <w:proofErr w:type="spellStart"/>
            <w:r w:rsidRPr="004C75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rodičia</w:t>
            </w:r>
            <w:proofErr w:type="spellEnd"/>
            <w:r w:rsidRPr="004C75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svoje úspory</w:t>
            </w:r>
          </w:p>
          <w:p w:rsidR="004C75A8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1D1865" w:rsidRP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:rsidR="00B9349D" w:rsidRPr="001D1865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5000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rmb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9349D" w:rsidRDefault="00077350" w:rsidP="00EC77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toho stravování</w:t>
            </w:r>
          </w:p>
          <w:p w:rsidR="00B9349D" w:rsidRPr="00B9349D" w:rsidRDefault="00B9349D" w:rsidP="00EC77D4">
            <w:pPr>
              <w:pStyle w:val="Odsekzoznamu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2500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rmb</w:t>
            </w:r>
            <w:proofErr w:type="spellEnd"/>
          </w:p>
          <w:p w:rsidR="001D1865" w:rsidRPr="001D1865" w:rsidRDefault="001D1865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9349D" w:rsidRDefault="00077350" w:rsidP="00EC77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toho ubytování</w:t>
            </w:r>
          </w:p>
          <w:p w:rsidR="00B9349D" w:rsidRPr="00B9349D" w:rsidRDefault="00B9349D" w:rsidP="00EC77D4">
            <w:pPr>
              <w:pStyle w:val="Odsekzoznamu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1200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rmb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9349D" w:rsidRDefault="00077350" w:rsidP="00EC77D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toho na cestování a volný čas</w:t>
            </w:r>
          </w:p>
          <w:p w:rsidR="00B9349D" w:rsidRPr="00B9349D" w:rsidRDefault="00B9349D" w:rsidP="00EC77D4">
            <w:pPr>
              <w:pStyle w:val="Odsekzoznamu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1300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rmb</w:t>
            </w:r>
            <w:proofErr w:type="spellEnd"/>
          </w:p>
          <w:p w:rsidR="004C75A8" w:rsidRPr="001D1865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:rsidR="00B9349D" w:rsidRDefault="00B9349D" w:rsidP="00EC77D4">
            <w:pPr>
              <w:pStyle w:val="Odsekzoznamu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70%</w:t>
            </w:r>
          </w:p>
          <w:p w:rsidR="00EC77D4" w:rsidRPr="00B9349D" w:rsidRDefault="00EC77D4" w:rsidP="00EC77D4">
            <w:pPr>
              <w:pStyle w:val="Odsekzoznamu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4C75A8" w:rsidRPr="001D1865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49D" w:rsidRPr="00EC77D4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B9349D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Bankovým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prevodom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za každ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ý</w:t>
            </w:r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mesiac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stanovenú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čiastku</w:t>
            </w:r>
            <w:proofErr w:type="spellEnd"/>
          </w:p>
          <w:p w:rsidR="00EC77D4" w:rsidRPr="00B9349D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E6E67" w:rsidRPr="00B9349D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E67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Určite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vhodné si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založiť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bankový účet,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  <w:r w:rsidR="0050214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to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vôbec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zložité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mal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účet v 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Com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</w:t>
            </w:r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ercial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Bank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ktorá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má pobočku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hneď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vedľa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kampusu-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plazza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Následne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môžete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mobilom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cez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Alipay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alebo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Wechat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Číne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sú </w:t>
            </w:r>
            <w:r w:rsidR="0050214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ám až na pár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výnimiek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bankovky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takmer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nič.</w:t>
            </w:r>
          </w:p>
          <w:p w:rsidR="00DE6E67" w:rsidRP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Peniaze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vyberal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bankomatu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priamo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spomínanej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bankovej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pobočke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následne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vkladal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čínsky účet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pomocou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totožného bankomatu.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Platenie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mobilom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kľúčové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budete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cez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alipay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nabíjať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študentsk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kartu na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stravovanie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menze, 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cez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Wechat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platiť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obchodoch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reštauráciach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taktiež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</w:t>
            </w:r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úšťať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práčku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…</w:t>
            </w:r>
          </w:p>
          <w:p w:rsidR="00EC77D4" w:rsidRPr="00DE6E67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E6E67" w:rsidRPr="001D1865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materiál,</w:t>
            </w:r>
            <w:proofErr w:type="gramEnd"/>
            <w:r w:rsidRPr="001D18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apod.)?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EC7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Poistenie</w:t>
            </w:r>
            <w:proofErr w:type="spellEnd"/>
            <w:r w:rsidRPr="00EC7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200 </w:t>
            </w:r>
            <w:proofErr w:type="spellStart"/>
            <w:r w:rsidRPr="00EC7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rmb</w:t>
            </w:r>
            <w:proofErr w:type="spellEnd"/>
          </w:p>
          <w:p w:rsidR="00EC77D4" w:rsidRPr="001D1865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EC77D4">
      <w:pPr>
        <w:spacing w:after="0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DE6E67" w:rsidRPr="00DE6E67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7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z nich Vám bylo domácí školou uznáno?</w:t>
            </w:r>
          </w:p>
          <w:p w:rsidR="00DE6E67" w:rsidRPr="00DE6E67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77D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24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333919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Z j</w:t>
            </w:r>
            <w:r w:rsidR="00711FC2"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uznány</w:t>
            </w: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povinné, povinně volitelné, volitelné)</w:t>
            </w:r>
            <w:r w:rsidR="00711FC2"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voliteľné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ateliér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DE6E67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Pr="00DE6E67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E6E67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DE6E67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DE6E67" w:rsidRPr="00B9349D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Boli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mi uznané zvolené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predmety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zahraničnej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univerzite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bez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akýchkoľvek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problémov</w:t>
            </w:r>
            <w:proofErr w:type="spellEnd"/>
            <w:r w:rsidRP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EC77D4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C77D4" w:rsidRPr="00B9349D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C77D4" w:rsidRDefault="00E12CE3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tbl>
            <w:tblPr>
              <w:tblW w:w="0" w:type="auto"/>
              <w:tblCellSpacing w:w="15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6"/>
              <w:gridCol w:w="126"/>
            </w:tblGrid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Zvací dopis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Pojištění na celou dobu pobytu v zahraničí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Studijní plán před výjezdem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Doklad o uznání studia v zahraničí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Transkript ze zahraniční univerzity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Potvrzení doby studia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Potvrzení o zapsání do následujícího semestru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B9349D" w:rsidRPr="00B9349D" w:rsidTr="00B934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</w:pPr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 xml:space="preserve">Dokumenty do jednoho </w:t>
                  </w:r>
                  <w:proofErr w:type="spellStart"/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>pdf_max</w:t>
                  </w:r>
                  <w:proofErr w:type="spellEnd"/>
                  <w:r w:rsidRPr="00B9349D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cs-CZ"/>
                    </w:rPr>
                    <w:t xml:space="preserve"> 2MB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9349D" w:rsidRPr="00B9349D" w:rsidRDefault="00B9349D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cs-CZ"/>
              </w:rPr>
            </w:pPr>
          </w:p>
          <w:p w:rsidR="00DE6E67" w:rsidRP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DE6E67" w:rsidRDefault="009D69D3" w:rsidP="00EC77D4">
      <w:pPr>
        <w:spacing w:after="0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DE6E67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DE6E6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odborný přínos studijního pobytu.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Písanie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esejí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diskutovanie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počas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seminárov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niektorých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nútia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človeka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kriticky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premýšľať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</w:t>
            </w:r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výme</w:t>
            </w:r>
            <w:r w:rsidR="00B73C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program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neponúkal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okrem Ateliéru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praktických a technických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univerzite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riešia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súčasné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problémy,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najmä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otázka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pamiatkovej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ochrany v</w:t>
            </w:r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Číne</w:t>
            </w:r>
            <w:proofErr w:type="spellEnd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rapídnej</w:t>
            </w:r>
            <w:proofErr w:type="spellEnd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urbanizácie</w:t>
            </w:r>
            <w:proofErr w:type="spellEnd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gentrifik</w:t>
            </w:r>
            <w:r w:rsidR="007B560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</w:t>
            </w:r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</w:t>
            </w:r>
            <w:r w:rsidR="007B560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</w:t>
            </w:r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</w:t>
            </w:r>
            <w:proofErr w:type="spellEnd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atď</w:t>
            </w:r>
            <w:proofErr w:type="spellEnd"/>
            <w:r w:rsidR="00B9349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B9349D" w:rsidRDefault="00B9349D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Odborný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prínos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bol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="007B560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mňa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vynikajúci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4C75A8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E6E67" w:rsidRP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DE6E6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osobní přínos studijního pobytu.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Pobyt mi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neuveriteľne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pomohol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získať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širší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pohľad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nielen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architektúru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ale aj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svetovú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kultúru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najmä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iný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pohľad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Európu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Šhanghai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neuveriteľne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pokrokové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mesto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prvé dni pobytu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cítil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výlete do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budúcnosti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Je to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</w:t>
            </w:r>
            <w:r w:rsidR="007B560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stretávajú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dve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odlišné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kultúry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východu a západu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vytvárajú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</w:t>
            </w:r>
            <w:r w:rsidR="007B560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jemne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prostredie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C77D4" w:rsidRPr="00DE6E67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DE6E6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E6E67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DE6E6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7D4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domáca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univerzita poskytuje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informácie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stránkach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ČVUT-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bilaterálne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dohody-správy z 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pobytov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predchodzích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študentov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Veľa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informácií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mi poskytli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študenti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ktorý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boli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minulosti, s 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ktorými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stretol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4C75A8" w:rsidRPr="00DE6E67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DE6E6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E67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 xml:space="preserve">Ohodnoťte informace a podporu poskytnuté zahraniční školou </w:t>
            </w:r>
            <w:proofErr w:type="gramStart"/>
            <w:r w:rsidR="00755BEA"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-  v</w:t>
            </w:r>
            <w:proofErr w:type="gramEnd"/>
            <w:r w:rsidR="00755BEA"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případě nespokojenosti uveďte konkrétní nedostatky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Tongji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</w:t>
            </w:r>
            <w:r w:rsidR="007B560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</w:t>
            </w:r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ed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príchodom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neposkytla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veľa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informácií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väčšinu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vyhľadával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sám </w:t>
            </w:r>
            <w:proofErr w:type="gram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stránkach</w:t>
            </w:r>
            <w:proofErr w:type="spellEnd"/>
            <w:proofErr w:type="gram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univerzity a fakulty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architektúry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Po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príchode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nás však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usporiadali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informačné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stretnutie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</w:p>
          <w:p w:rsidR="00EC77D4" w:rsidRP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E6E67" w:rsidRP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DE6E6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4C75A8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Určite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E6E67" w:rsidRP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DE6E6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E6E67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Získanie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širšieho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pohľadu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</w:t>
            </w:r>
            <w:r w:rsidR="00EC7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C7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svet</w:t>
            </w:r>
            <w:proofErr w:type="spellEnd"/>
            <w:r w:rsidR="00EC7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C77D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Som nesmierne rád, že som mal možnosť vycestovať tak ďaleko. Práve vďaka tomu sa viem na našu európsku kultúru pozrieť novým pohľadom, lepšie jej porozumieť a najmä ju </w:t>
            </w:r>
            <w:proofErr w:type="spellStart"/>
            <w:r w:rsidR="00EC77D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mocť</w:t>
            </w:r>
            <w:proofErr w:type="spellEnd"/>
            <w:r w:rsidR="00EC77D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porovnávať s tým, čo som zažil v zahraničí.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4C75A8" w:rsidRPr="00DE6E67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DE6E67" w:rsidRDefault="00DE6E67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  <w:r w:rsidRPr="00DE6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C77D4" w:rsidRDefault="00EC77D4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9" w:name="_GoBack"/>
            <w:bookmarkEnd w:id="9"/>
          </w:p>
          <w:p w:rsidR="004C75A8" w:rsidRPr="00DE6E67" w:rsidRDefault="004C75A8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E6E67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EC77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E6E6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DE6E67" w:rsidRPr="00CE678C" w:rsidRDefault="00EC77D4" w:rsidP="00EC77D4">
      <w:pPr>
        <w:spacing w:after="0" w:line="240" w:lineRule="auto"/>
        <w:rPr>
          <w:rFonts w:asciiTheme="majorHAnsi" w:hAnsiTheme="majorHAnsi"/>
        </w:rPr>
      </w:pPr>
      <w:hyperlink r:id="rId9" w:history="1">
        <w:r>
          <w:rPr>
            <w:rStyle w:val="Hypertextovprepojenie"/>
          </w:rPr>
          <w:t>https://www.instagram.com/jakubkender/</w:t>
        </w:r>
      </w:hyperlink>
    </w:p>
    <w:sectPr w:rsidR="00DE6E67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FFD"/>
    <w:multiLevelType w:val="hybridMultilevel"/>
    <w:tmpl w:val="9600E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0088"/>
    <w:multiLevelType w:val="hybridMultilevel"/>
    <w:tmpl w:val="7D6E4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7AA3"/>
    <w:multiLevelType w:val="hybridMultilevel"/>
    <w:tmpl w:val="F6466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jC3NDA3sDQ2MbNU0lEKTi0uzszPAykwrwUAl6My9SwAAAA="/>
  </w:docVars>
  <w:rsids>
    <w:rsidRoot w:val="009D69D3"/>
    <w:rsid w:val="00007993"/>
    <w:rsid w:val="00077350"/>
    <w:rsid w:val="00096D26"/>
    <w:rsid w:val="00151FBB"/>
    <w:rsid w:val="001D1865"/>
    <w:rsid w:val="00333919"/>
    <w:rsid w:val="004B736D"/>
    <w:rsid w:val="004C75A8"/>
    <w:rsid w:val="004D281B"/>
    <w:rsid w:val="00502145"/>
    <w:rsid w:val="00636AD5"/>
    <w:rsid w:val="00711FC2"/>
    <w:rsid w:val="00755BEA"/>
    <w:rsid w:val="007B560A"/>
    <w:rsid w:val="00831986"/>
    <w:rsid w:val="008657FF"/>
    <w:rsid w:val="00887907"/>
    <w:rsid w:val="008C2019"/>
    <w:rsid w:val="009135EF"/>
    <w:rsid w:val="009D69D3"/>
    <w:rsid w:val="00AC02AA"/>
    <w:rsid w:val="00B73C43"/>
    <w:rsid w:val="00B9349D"/>
    <w:rsid w:val="00CB1201"/>
    <w:rsid w:val="00CB699C"/>
    <w:rsid w:val="00CE3BAE"/>
    <w:rsid w:val="00CE678C"/>
    <w:rsid w:val="00DE6E67"/>
    <w:rsid w:val="00E12CE3"/>
    <w:rsid w:val="00E85AF4"/>
    <w:rsid w:val="00EB0CD6"/>
    <w:rsid w:val="00EC77D4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456E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D1865"/>
    <w:pPr>
      <w:ind w:left="720"/>
      <w:contextualSpacing/>
    </w:pPr>
  </w:style>
  <w:style w:type="character" w:customStyle="1" w:styleId="gd">
    <w:name w:val="gd"/>
    <w:basedOn w:val="Predvolenpsmoodseku"/>
    <w:rsid w:val="00CB1201"/>
  </w:style>
  <w:style w:type="character" w:customStyle="1" w:styleId="outputmsg">
    <w:name w:val="outputmsg"/>
    <w:basedOn w:val="Predvolenpsmoodseku"/>
    <w:rsid w:val="00B9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embassy.cz/cze/lsy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up.tongji.edu.cn/caupen/11075/li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up.tongji.edu.cn/caupen/11073/lis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up.tongji.edu.cn/caupen/11021/lis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akubkende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Jakub Kender</cp:lastModifiedBy>
  <cp:revision>16</cp:revision>
  <cp:lastPrinted>2017-11-21T10:40:00Z</cp:lastPrinted>
  <dcterms:created xsi:type="dcterms:W3CDTF">2019-07-09T07:12:00Z</dcterms:created>
  <dcterms:modified xsi:type="dcterms:W3CDTF">2019-09-30T12:59:00Z</dcterms:modified>
</cp:coreProperties>
</file>