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05315B">
      <w:pPr>
        <w:pStyle w:val="Heading1"/>
        <w:jc w:val="both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5527"/>
      </w:tblGrid>
      <w:tr w:rsidR="008E10C0" w:rsidRPr="00CE678C" w:rsidTr="0005315B">
        <w:trPr>
          <w:tblCellSpacing w:w="15" w:type="dxa"/>
        </w:trPr>
        <w:tc>
          <w:tcPr>
            <w:tcW w:w="3921" w:type="dxa"/>
            <w:vAlign w:val="center"/>
            <w:hideMark/>
          </w:tcPr>
          <w:p w:rsidR="009D69D3" w:rsidRPr="00CE678C" w:rsidRDefault="00887907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</w:p>
        </w:tc>
        <w:tc>
          <w:tcPr>
            <w:tcW w:w="5482" w:type="dxa"/>
            <w:vAlign w:val="center"/>
            <w:hideMark/>
          </w:tcPr>
          <w:p w:rsidR="009D69D3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Elektrotechnická</w:t>
            </w:r>
          </w:p>
        </w:tc>
      </w:tr>
      <w:tr w:rsidR="009D69D3" w:rsidRPr="00CE678C" w:rsidTr="0005315B">
        <w:trPr>
          <w:tblCellSpacing w:w="15" w:type="dxa"/>
        </w:trPr>
        <w:tc>
          <w:tcPr>
            <w:tcW w:w="3921" w:type="dxa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</w:p>
        </w:tc>
        <w:tc>
          <w:tcPr>
            <w:tcW w:w="5482" w:type="dxa"/>
            <w:vAlign w:val="center"/>
            <w:hideMark/>
          </w:tcPr>
          <w:p w:rsidR="009D69D3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Elektronika</w:t>
            </w:r>
          </w:p>
        </w:tc>
      </w:tr>
      <w:tr w:rsidR="009D69D3" w:rsidRPr="00CE678C" w:rsidTr="0005315B">
        <w:trPr>
          <w:tblCellSpacing w:w="15" w:type="dxa"/>
        </w:trPr>
        <w:tc>
          <w:tcPr>
            <w:tcW w:w="3921" w:type="dxa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 zahraničí</w:t>
            </w:r>
          </w:p>
        </w:tc>
        <w:tc>
          <w:tcPr>
            <w:tcW w:w="5482" w:type="dxa"/>
            <w:vAlign w:val="center"/>
          </w:tcPr>
          <w:p w:rsidR="009D69D3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Doktorské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studium - kombinované</w:t>
            </w:r>
            <w:proofErr w:type="gramEnd"/>
          </w:p>
        </w:tc>
      </w:tr>
    </w:tbl>
    <w:p w:rsidR="009D69D3" w:rsidRPr="00CE678C" w:rsidRDefault="009D69D3" w:rsidP="0005315B">
      <w:pPr>
        <w:pStyle w:val="Heading1"/>
        <w:jc w:val="both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678"/>
      </w:tblGrid>
      <w:tr w:rsidR="009D69D3" w:rsidRPr="00CE678C" w:rsidTr="0005315B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</w:p>
        </w:tc>
        <w:tc>
          <w:tcPr>
            <w:tcW w:w="4633" w:type="dxa"/>
            <w:vAlign w:val="center"/>
            <w:hideMark/>
          </w:tcPr>
          <w:p w:rsidR="009D69D3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Austrálie</w:t>
            </w:r>
          </w:p>
        </w:tc>
      </w:tr>
      <w:tr w:rsidR="009D69D3" w:rsidRPr="00CE678C" w:rsidTr="0005315B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</w:p>
        </w:tc>
        <w:tc>
          <w:tcPr>
            <w:tcW w:w="4633" w:type="dxa"/>
            <w:vAlign w:val="center"/>
            <w:hideMark/>
          </w:tcPr>
          <w:p w:rsidR="009D69D3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The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Melbourne</w:t>
            </w:r>
          </w:p>
        </w:tc>
      </w:tr>
      <w:tr w:rsidR="009D69D3" w:rsidRPr="00CE678C" w:rsidTr="0005315B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831986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8E10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33" w:type="dxa"/>
            <w:vAlign w:val="center"/>
            <w:hideMark/>
          </w:tcPr>
          <w:p w:rsidR="009D69D3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School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Physics</w:t>
            </w:r>
            <w:proofErr w:type="spellEnd"/>
          </w:p>
        </w:tc>
      </w:tr>
      <w:tr w:rsidR="009D69D3" w:rsidRPr="00CE678C" w:rsidTr="0005315B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9D69D3" w:rsidRPr="00CE678C" w:rsidRDefault="00887907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</w:p>
        </w:tc>
        <w:tc>
          <w:tcPr>
            <w:tcW w:w="4633" w:type="dxa"/>
            <w:vAlign w:val="center"/>
            <w:hideMark/>
          </w:tcPr>
          <w:p w:rsidR="009D69D3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Poppy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Gatsios</w:t>
            </w:r>
            <w:proofErr w:type="spellEnd"/>
          </w:p>
        </w:tc>
      </w:tr>
      <w:tr w:rsidR="009D69D3" w:rsidRPr="00CE678C" w:rsidTr="0005315B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9D69D3" w:rsidRPr="00CE678C" w:rsidRDefault="00887907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</w:p>
        </w:tc>
        <w:tc>
          <w:tcPr>
            <w:tcW w:w="4633" w:type="dxa"/>
            <w:vAlign w:val="center"/>
            <w:hideMark/>
          </w:tcPr>
          <w:p w:rsidR="009D69D3" w:rsidRPr="00CE678C" w:rsidRDefault="0005315B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hyperlink r:id="rId4" w:history="1">
              <w:r w:rsidRPr="00673801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plegakis@unimelb.edu.au</w:t>
              </w:r>
            </w:hyperlink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D69D3" w:rsidRPr="00CE678C" w:rsidTr="0005315B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9D69D3" w:rsidRPr="00CE678C" w:rsidRDefault="00887907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</w:p>
        </w:tc>
        <w:tc>
          <w:tcPr>
            <w:tcW w:w="4633" w:type="dxa"/>
            <w:vAlign w:val="center"/>
            <w:hideMark/>
          </w:tcPr>
          <w:p w:rsidR="009D69D3" w:rsidRPr="00CE678C" w:rsidRDefault="0005315B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hyperlink r:id="rId5" w:history="1">
              <w:r w:rsidRPr="008B355C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https://s</w:t>
              </w:r>
              <w:r w:rsidRPr="008B355C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t</w:t>
              </w:r>
              <w:r w:rsidRPr="008B355C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udy.unimelb.edu.au/find/</w:t>
              </w:r>
            </w:hyperlink>
          </w:p>
        </w:tc>
      </w:tr>
    </w:tbl>
    <w:p w:rsidR="009D69D3" w:rsidRPr="00CE678C" w:rsidRDefault="00887907" w:rsidP="0005315B">
      <w:pPr>
        <w:pStyle w:val="Heading1"/>
        <w:jc w:val="both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2019</w:t>
            </w: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05315B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8E10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.5.2019</w:t>
            </w: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05315B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31</w:t>
            </w:r>
            <w:r w:rsidR="008E10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.10.2019</w:t>
            </w: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9D69D3" w:rsidRPr="00711FC2" w:rsidRDefault="009D69D3" w:rsidP="0005315B">
      <w:pPr>
        <w:pStyle w:val="Heading1"/>
        <w:jc w:val="both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94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277"/>
        <w:gridCol w:w="70"/>
      </w:tblGrid>
      <w:tr w:rsidR="0005315B" w:rsidRPr="00CE678C" w:rsidTr="0005315B">
        <w:trPr>
          <w:gridAfter w:val="1"/>
          <w:wAfter w:w="25" w:type="dxa"/>
          <w:tblCellSpacing w:w="15" w:type="dxa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8C" w:rsidRPr="0005315B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315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05315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možnosti vyjet v rámci MBD?</w:t>
            </w:r>
          </w:p>
          <w:p w:rsidR="0005315B" w:rsidRPr="00CE678C" w:rsidRDefault="0005315B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CVUT.</w:t>
            </w:r>
          </w:p>
        </w:tc>
        <w:tc>
          <w:tcPr>
            <w:tcW w:w="247" w:type="dxa"/>
            <w:vAlign w:val="center"/>
            <w:hideMark/>
          </w:tcPr>
          <w:p w:rsidR="009D69D3" w:rsidRPr="00CE678C" w:rsidRDefault="008E10C0" w:rsidP="0005315B">
            <w:pPr>
              <w:spacing w:after="0" w:line="240" w:lineRule="auto"/>
              <w:ind w:left="-2767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Web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čvut</w:t>
            </w:r>
            <w:proofErr w:type="spellEnd"/>
          </w:p>
        </w:tc>
      </w:tr>
      <w:tr w:rsidR="0005315B" w:rsidRPr="00CE678C" w:rsidTr="0005315B">
        <w:trPr>
          <w:gridAfter w:val="1"/>
          <w:wAfter w:w="25" w:type="dxa"/>
          <w:tblCellSpacing w:w="15" w:type="dxa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D3" w:rsidRPr="00542949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05315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B736D"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(uveďte odkaz na web)</w:t>
            </w: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</w:p>
          <w:p w:rsidR="00542949" w:rsidRPr="00CE678C" w:rsidRDefault="00316A86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hyperlink r:id="rId6" w:history="1">
              <w:r w:rsidR="00542949" w:rsidRPr="008B355C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https://study.unimelb.edu.au/find/</w:t>
              </w:r>
            </w:hyperlink>
            <w:r w:rsid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7" w:type="dxa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5315B" w:rsidRPr="00CE678C" w:rsidTr="0005315B">
        <w:trPr>
          <w:gridAfter w:val="1"/>
          <w:wAfter w:w="25" w:type="dxa"/>
          <w:tblCellSpacing w:w="15" w:type="dxa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9" w:rsidRPr="00542949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Cestovní pas, TOEFL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iBT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různým skóre, záleží na typu pobytu, ale většinou &gt;80, Výpis studijních výsledků s ECT&gt; 3.5</w:t>
            </w:r>
          </w:p>
        </w:tc>
        <w:tc>
          <w:tcPr>
            <w:tcW w:w="247" w:type="dxa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5315B" w:rsidRPr="00CE678C" w:rsidTr="0005315B">
        <w:trPr>
          <w:gridAfter w:val="1"/>
          <w:wAfter w:w="25" w:type="dxa"/>
          <w:tblCellSpacing w:w="15" w:type="dxa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49" w:rsidRPr="00542949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Navštívením testovací lokality ETS (TOEFL, cena přibližně 7000Kč) a složením zkoušky, pokud vlastníte CAE, nebo podobně, uznají Vám ho. Dále jsem se poměrně dlouho zabýval domluvou s kontaktní osobou na zahraniční univerzitě, mají dost práce a poslední roky mají vlny veder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což situaci komplikuje. I přes to však celý proces proběhl relativně rychle (1 měsíc).</w:t>
            </w:r>
          </w:p>
        </w:tc>
        <w:tc>
          <w:tcPr>
            <w:tcW w:w="247" w:type="dxa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5315B" w:rsidRPr="00CE678C" w:rsidTr="0005315B">
        <w:trPr>
          <w:gridAfter w:val="1"/>
          <w:wAfter w:w="25" w:type="dxa"/>
          <w:tblCellSpacing w:w="15" w:type="dxa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6A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V jakém jazyce jste studoval/a na zahraniční vysoké škole?</w:t>
            </w:r>
            <w:r w:rsid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9D69D3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Angličtina</w:t>
            </w:r>
          </w:p>
          <w:p w:rsidR="00542949" w:rsidRPr="00542949" w:rsidRDefault="00CE678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OLE_LINK1"/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  <w:r w:rsidR="00542949"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Musel jsem získat souhlas školitele a vedoucího katedry se zahraniční stáží a dohodu mezi katedrami podepsanou zástupci vysílající i přijímající instituce.</w:t>
            </w:r>
          </w:p>
          <w:p w:rsidR="00CE678C" w:rsidRPr="00542949" w:rsidRDefault="00CE678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Dohodu mezi odděleními, jelikož ČVUT nemá s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Unimelb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smlouvu. Souhlas školitele a vedoucího katedry se zahraniční stáží.</w:t>
            </w:r>
          </w:p>
          <w:p w:rsidR="00CB699C" w:rsidRDefault="00CB699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 je nutné získat Studentské vízum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Subclass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500. Jeho cena se pohybuje kolem 400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AUD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přestože stránka uvádí 17 dní čekací lhůta, v pátek jsem zažádal, v pondělí mi bylo uděleno. Důležité je se ujistit, že vaší vízové přihlášce na </w:t>
            </w:r>
            <w:hyperlink r:id="rId7" w:history="1">
              <w:r w:rsidRPr="008B355C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https://immi.homeaffairs.gov.au</w:t>
              </w:r>
            </w:hyperlink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nic nechybí.</w:t>
            </w:r>
          </w:p>
          <w:p w:rsidR="00542949" w:rsidRP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pojištění).</w:t>
            </w:r>
          </w:p>
          <w:p w:rsid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Melbourne má smlouvu s pojišťovnou BUPA, pojištění Vám zařídí defaultně na délku studijního programu, ale víza budete mít o měsíc delší, takže je dobré zavolat do pojišťovny a požádat </w:t>
            </w:r>
            <w:proofErr w:type="gram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</w:t>
            </w:r>
            <w:proofErr w:type="gram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aby Vám to prodloužili na celou cestu (od letenky do letenky). Cena pojištění je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opět </w:t>
            </w:r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přibližně 400AUD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542949" w:rsidRP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</w:p>
          <w:p w:rsidR="0007735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Potřeboval/a jste nějaké očkování?</w:t>
            </w:r>
          </w:p>
          <w:p w:rsidR="00E85AF4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Nepovinné, stejně jako v ČR, doporučuje se Hepatitida B.</w:t>
            </w:r>
            <w:r w:rsid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Nicméně před odletem jsem byl přeočkován virovou vakcínou a tetanem.</w:t>
            </w:r>
          </w:p>
          <w:p w:rsidR="00E85AF4" w:rsidRDefault="00E85AF4" w:rsidP="0005315B">
            <w:pPr>
              <w:pStyle w:val="Heading1"/>
              <w:jc w:val="both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8E10C0" w:rsidRPr="00E76DCD" w:rsidRDefault="00E85AF4" w:rsidP="0005315B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Doprava do místa pobytu, orientační cena, tipy pro výhodné zakoupení jízdenky či letenky.</w:t>
            </w:r>
          </w:p>
          <w:p w:rsidR="008E10C0" w:rsidRDefault="008E10C0" w:rsidP="0005315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Letenky jsem zakoupil na Skyscanner.com, s cenou začínající od 15000Kč za zpáteční. Já jsem je ale koupil za 30000Kč, protože to bylo ve spěchu. Současně doporučuji zavolat (až budete znát termín příletu a odletu) do příslušné pojišťovny u které Vás univerzita zdravotně pojistí a požádat je o prodloužení termínu (rozšíření</w:t>
            </w:r>
            <w:r w:rsidR="00E9137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platnosti podle data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 kdy Vám pojištění platí, protože krytí pojištění musí zahrnovat celou dobu pobytu, jinak Vám nejspíš neschválí vízum. Pojišťovna s tím nemá problém.</w:t>
            </w:r>
          </w:p>
          <w:p w:rsidR="008E10C0" w:rsidRPr="00E76DCD" w:rsidRDefault="008E10C0" w:rsidP="0005315B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85AF4"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br/>
              <w:t xml:space="preserve">Procedura na </w:t>
            </w:r>
            <w:proofErr w:type="gramStart"/>
            <w:r w:rsidR="00E85AF4"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hranicích - co</w:t>
            </w:r>
            <w:proofErr w:type="gramEnd"/>
            <w:r w:rsidR="00E85AF4"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mít u sebe?</w:t>
            </w:r>
          </w:p>
          <w:p w:rsidR="0056616A" w:rsidRDefault="008E10C0" w:rsidP="0005315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 sebe mít jen vytištěný papír s </w:t>
            </w:r>
            <w:r w:rsidR="00316A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</w:t>
            </w:r>
            <w:bookmarkStart w:id="2" w:name="_GoBack"/>
            <w:bookmarkEnd w:id="2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ízem, resp. jeho číslem a cestovní pas. Pozor na překlepy v žádosti, ale to asi nemusím zdůrazňovat.</w:t>
            </w:r>
          </w:p>
          <w:p w:rsidR="00E85AF4" w:rsidRPr="0056616A" w:rsidRDefault="00E85AF4" w:rsidP="0005315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br/>
              <w:t>Pick up nebo samostatná cesta z letiště.</w:t>
            </w:r>
          </w:p>
          <w:p w:rsidR="00E85AF4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a z letiště jezdí autobusy </w:t>
            </w:r>
            <w:r w:rsidR="000531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„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Skybus</w:t>
            </w:r>
            <w:proofErr w:type="spellEnd"/>
            <w:r w:rsidR="000531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“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každou půlhodinu. Další možnosti jsou Uber, Taxi,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Ola,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atd. Cena se pohybuje kolem 30 AUD.</w:t>
            </w:r>
            <w:r w:rsidR="00E76D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Mě osobně vyzvedl nad ránem kamarád.</w:t>
            </w:r>
          </w:p>
        </w:tc>
        <w:tc>
          <w:tcPr>
            <w:tcW w:w="247" w:type="dxa"/>
            <w:vAlign w:val="center"/>
            <w:hideMark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5315B" w:rsidRPr="00CE678C" w:rsidTr="0005315B">
        <w:trPr>
          <w:tblCellSpacing w:w="15" w:type="dxa"/>
        </w:trPr>
        <w:tc>
          <w:tcPr>
            <w:tcW w:w="9359" w:type="dxa"/>
            <w:gridSpan w:val="3"/>
            <w:vAlign w:val="center"/>
          </w:tcPr>
          <w:p w:rsidR="009D69D3" w:rsidRPr="00CE678C" w:rsidRDefault="009D69D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05315B" w:rsidRDefault="009D69D3" w:rsidP="0005315B">
      <w:pPr>
        <w:pStyle w:val="Heading1"/>
        <w:jc w:val="both"/>
        <w:rPr>
          <w:rFonts w:eastAsia="Times New Roman"/>
          <w:b/>
          <w:lang w:eastAsia="cs-CZ"/>
        </w:rPr>
      </w:pPr>
      <w:bookmarkStart w:id="3" w:name="Průběh_studia"/>
      <w:bookmarkStart w:id="4" w:name="OLE_LINK2"/>
      <w:bookmarkStart w:id="5" w:name="OLE_LINK3"/>
      <w:bookmarkEnd w:id="3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4"/>
          <w:bookmarkEnd w:id="5"/>
          <w:p w:rsidR="00CB699C" w:rsidRPr="00E76DCD" w:rsidRDefault="00CB699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Měnil/a jste během pobytu studijní plán?</w:t>
            </w:r>
          </w:p>
          <w:p w:rsidR="008E10C0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Moje studium je doktorské, takže jsem neabsolvoval žádné předměty a věnoval jsem se svému vlastnímu výzkumu, dizertaci a konzultacím s místním vedoucím a kolegy.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E76DCD" w:rsidRDefault="00CB699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="008E10C0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Do kurzu jsem registrovaný nebyl, nicméně registrace/zápis do kurzů probíhá online v systému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UniMelb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dost podobně jako v Kosu na ČVUT. Výběr předmětů je však mnohem širší, protože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UniMelb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sdružuje humanitní i technické obory a je to nesrovnatelně větší univerzita. Doporučuji se informovat mailem přímo u garanta o náročnosti daných předmětů a poptat se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prerekvizity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Normální počet předmětů na semestr je přibližně 4. Přičemž zkouška je většinou písemná a ústní část, nebo jen písemná část a je na ní většinou jeden pokus. Většina technických předmětů je koncipována časově poměrně náročnou prací v semestru a poklidným zakončením zkouškou.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E76DCD" w:rsidRDefault="00CB699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Doporučil/a byste nějaký zajímavý předmět/kurz/vyučujícího?</w:t>
            </w:r>
          </w:p>
          <w:p w:rsidR="008E10C0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Já osobně neabsolvoval žádný předmět na této univerzitě, nemám možnost posoudit, ale slyšel jsem, že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Artificial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Inteligence je velice dobrý kurz.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E76DCD" w:rsidRDefault="00CB699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:rsidR="008E10C0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Ano, během mého pobytu jsem byl bez problémů vpuštěn do všech laboratoří, které jsem potřeboval ke svému výzkumu. Po povinné úvodní „indukci“ a zaškolení na daných aparaturách jsem k nim mohl přistupovat po vytvoření rezervace v systému místní ECMP skupiny. Vybavenost místních laboratoří je na špičkové úrovni a konkrétně skupin, ve které jsem pracoval se specializuje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implantabilní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senzoriku a bio-senzoriku. Během pobytu tady jsem získal mnoho cenných zkušeností o fungování místních laboratoří.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E76DCD" w:rsidRDefault="00CB699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8E10C0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Průběžné hodnocení práce v semestru a závěrečná zkouška. Podobně jako většina předmětů na katedře Kybernetiky, studium formou projektů individuálních, ale většinou týmových. Na rozdíl od FEL, na zkoušku nejsou tři pokusy, ale jen jeden.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E76DCD" w:rsidRDefault="00CB699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Jaká je kvalita výuky na zahraniční škole ve srovnání s domácí?</w:t>
            </w:r>
          </w:p>
          <w:p w:rsidR="008E10C0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Nemyslím, že je to za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danných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okolností srovnatelné a netroufám si srovnávat,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The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Melbourne je privátní škola, kde student platí „</w:t>
            </w:r>
            <w:proofErr w:type="spellStart"/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tertiary</w:t>
            </w:r>
            <w:proofErr w:type="spellEnd"/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fe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“ přibližně 18000 až 30000 AUD semestrálně, je také největším vlastníkem pozemků ve Victorii a jakožto tedy komerční instituce má mnohem širší možnosti. Její umístění v žebříčku QS Rating je 36. na světě. Kvalita výuky tomu nejspíš odpovídá. Rozdíl je už v tom, že pro výuku má univerzita dedikované zaměstnance s pedagogickým vzděláním a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většinou tím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nezatěžuje personál zaměstnaný pro generování vědeckých výsledků.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E76DCD" w:rsidRDefault="00CB699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Jaká je vybavenost </w:t>
            </w:r>
            <w:r w:rsidR="00E85AF4"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kampusu</w:t>
            </w: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</w:p>
          <w:p w:rsidR="008E10C0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Kampus je na obrovské ploše v centru Melbourne, jeho vybavenost je výborná, zahrnuje studentské spolky, mezinárodních studentské organizace, stravovacích zařízení, zdravotní centrum pro studenty, sportovní centra a další.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E76DCD" w:rsidRDefault="00CB699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8E10C0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Doslova na každém rohu a v každé studovně, na přístup přes Vaši studentskou kartu, kterou Vám vystaví na Stop 1. K tisku člověk může využít univerzitní centrální tisk</w:t>
            </w:r>
            <w:r w:rsidR="00D26CC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kde se platí účtem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Unimelb</w:t>
            </w:r>
            <w:proofErr w:type="spellEnd"/>
            <w:r w:rsidR="00D26CC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na který si musíte dobít peníze na STOP 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E76DCD" w:rsidRDefault="00CB699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Možná až moc, doslova každý den je někde na kampusu možnost se zdarma najíst. Není ale vždycky lehké to místo najít. Slyšel jsem, že na to existuje nějaký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instagramový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účet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kde pozici toho stánku zveřejňují.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E76DCD" w:rsidRDefault="00CB699C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E76DC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Byl/a jste během studia v zahraničí začleněn/a do studijních skupin s místními studenty?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 byl, několikrát jsme šli s absolventy ze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School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Physics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pivo nebo na místní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párty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Je tu skupina pro každý početněji zastoupený národ. Největší zastoupení co do počtu studentů má Asie, konkrétně Čína.</w:t>
            </w:r>
          </w:p>
        </w:tc>
      </w:tr>
    </w:tbl>
    <w:p w:rsidR="009D69D3" w:rsidRPr="00711FC2" w:rsidRDefault="009D69D3" w:rsidP="0005315B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Praktické_otázky_pobytu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Kde jste během studijního pobytu bydlel/a?</w:t>
            </w:r>
          </w:p>
          <w:p w:rsidR="008E10C0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pronajatém bytě se spolubydlícími. V Box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Hillu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40 minut od Univerzity.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10C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Cena Vašeho ubytování – měsíčně.</w:t>
            </w:r>
          </w:p>
          <w:p w:rsidR="008E10C0" w:rsidRPr="00CE678C" w:rsidRDefault="008E10C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600AUD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542949" w:rsidRP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Zvolil jsem daný typ ubytování, protože jsem na víc neměl, Melbourne je velice drahé město a čím blíže centru bydlíte tím víc platíte. Na začátku Vám bude nabídnuta kolej za 476 AUD týdně, jakožto ekonomická volba. Budete sice pře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</w:t>
            </w:r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ulici od univerzity (</w:t>
            </w: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Royall</w:t>
            </w:r>
            <w:proofErr w:type="spell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</w:t>
            </w:r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arade</w:t>
            </w:r>
            <w:proofErr w:type="spell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), ale dají se sehnat mnohem levnější varianty, jen trochu dál od školy.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Dle mého názoru je lepší se připravit na bydlení v hotelu prvních 14 dní a ubytování si sehnat až po kontaktu s ostatními studenty, například na </w:t>
            </w:r>
            <w:hyperlink r:id="rId8" w:history="1">
              <w:r w:rsidRPr="008B355C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https://www.flatmatefinders.com.au</w:t>
              </w:r>
            </w:hyperlink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 kampusu je tzv. Union house, který je plný levných restaurací. V 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místě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kde jsem já bydlel bylo nejlepší možností jít nakoupit a vařit si. Stravovat se v Melbourne v restauracích je extrémně nákladné, ale občas strašně lahodné </w:t>
            </w:r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sym w:font="Wingdings" w:char="F04A"/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</w:t>
            </w:r>
            <w:r w:rsidR="00831986"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é jsou orientační ceny potravin? </w:t>
            </w: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(porovnejte s cenami v ČR)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Potraviny jsou dražší, ale kvalitnější a s větším výběrem. 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Přehledově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bych řekl, že jsou o 80% dražší než v ČR.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jsou možnosti místní dopravy</w:t>
            </w:r>
            <w:r w:rsidR="00831986"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(MHD</w:t>
            </w:r>
            <w:r w:rsidR="00831986"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, kolo, pěšky, orientační ceny)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MHD (40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AUD týdně bez studentské slevy – PhD na ní nemá nárok, 20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AUD týdně s koncesí - Mgr., Bc.)) Celoročně jsem to spočítal, že plná cena je v přepočtu 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cca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32000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,-Kč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ročně, což je 8* více než v Praze </w:t>
            </w:r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sym w:font="Wingdings" w:char="F04A"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Melbourne je obří město co do rozlohy, takže pěšky můžete samozřejmě chodit pořád. Kola jsou tu velice vhodným a oblíbeným prostředkem, je tu bezpečno a všude jsou pruhy, cyklostezky a spousta místa pro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cyklo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Kolo se dá půjčit za 3.5AUD/den, ale každých 45minut ho musíte zacvaknout nazpět do stojanu jinak zaplatíte víc. Jinak doporučuji si pořídit kolo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 příjezdu je třeba dodat elektronicky adresu pobytu na stránku s vízy do vašeho osobního účtu a doplnit ji i do systému univerzity, aby zrušili sankce na vašem vízu. Tím si vláda ověřuje, že jste tu dočasně po dobu studia a že jste započali studium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taky kde Vás zasti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nout korespondenčně. S každou změnou bydliště byste měli adresu aktualizovat. Co se týká univerzity, tam je třeba zajít na studijní oddělení dané fakulty (</w:t>
            </w:r>
            <w:proofErr w:type="spellStart"/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chool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 a přihlásit se ke studiu, potom také nav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štívit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Stop 1 a nechat si udělat studentskou kartičkou, koupit si mikinu, a případně nechat si vystavit koncesní kartu pro slevu na MHD.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Měl/a jste zkušenosti s lékařským ošetřením v zahraničí?</w:t>
            </w:r>
          </w:p>
          <w:p w:rsidR="0056616A" w:rsidRPr="0056616A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Neměl jsem zkušenosti s lékařským ošetřením, ale na kampusu University </w:t>
            </w:r>
            <w:proofErr w:type="spellStart"/>
            <w:r w:rsidRP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Melbourne je dobré zázemí pro studenty zahrnující lékařskou péči.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Pracoval/a jste během studia?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Ne, ale 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velkou část prostředků jsem musel hradit z úspor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542949" w:rsidRPr="00542949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základě několika</w:t>
            </w:r>
            <w:r w:rsidR="00542949"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inzerátů jsem přečetl a většinou se jedná o práci alespoň na 3 měsíce na kratší úvazek, což je podmínkou studentského víza, kde můžete pracovat max. 0,5, tj. 20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42949"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h týdně. Pro studenty s dobrými komunikačními schopnostmi bych doporučoval dělat </w:t>
            </w:r>
            <w:proofErr w:type="spellStart"/>
            <w:r w:rsidR="00542949"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</w:t>
            </w:r>
            <w:r w:rsidR="00542949"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istu</w:t>
            </w:r>
            <w:proofErr w:type="spellEnd"/>
            <w:r w:rsidR="00542949"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některé z místních kaváren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kde se mzda pohybuje kolem 35 AUD/hodinu</w:t>
            </w:r>
            <w:r w:rsidR="00542949"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Tipy na využití volného času (sport; kultu</w:t>
            </w:r>
            <w:r w:rsidR="00831986"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ra; výlety; finanční náročnost).</w:t>
            </w:r>
          </w:p>
          <w:p w:rsid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Melbourne doporučuji navštívit </w:t>
            </w:r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St. </w:t>
            </w:r>
            <w:proofErr w:type="spellStart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Kilda</w:t>
            </w:r>
            <w:proofErr w:type="spellEnd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beach</w:t>
            </w:r>
            <w:proofErr w:type="spellEnd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Royal</w:t>
            </w:r>
            <w:proofErr w:type="spellEnd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botanic</w:t>
            </w:r>
            <w:proofErr w:type="spellEnd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gardes</w:t>
            </w:r>
            <w:proofErr w:type="spellEnd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Fitzroy</w:t>
            </w:r>
            <w:proofErr w:type="spellEnd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gardens</w:t>
            </w:r>
            <w:proofErr w:type="spellEnd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, Museum </w:t>
            </w:r>
            <w:proofErr w:type="spellStart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contemporary</w:t>
            </w:r>
            <w:proofErr w:type="spellEnd"/>
            <w:r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art,</w:t>
            </w:r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White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night, Melbourne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Half-marathon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, Albert park,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shrine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rememberance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South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Yarra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Parkville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Campus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Eureka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Skytower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, Melbourne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Observation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Wheel,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Flinders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Street,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Hawkers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Chan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Singapore Restaurant,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Williamstown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, St.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Kilda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Pier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, St.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Kilda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Amusement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Park, projít pěšky CBD, St.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Patriks</w:t>
            </w:r>
            <w:proofErr w:type="spellEnd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6616A" w:rsidRPr="0056616A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cs-CZ"/>
              </w:rPr>
              <w:t>Catedhral</w:t>
            </w:r>
            <w:proofErr w:type="spellEnd"/>
          </w:p>
          <w:p w:rsidR="0005315B" w:rsidRPr="00542949" w:rsidRDefault="0005315B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542949" w:rsidRPr="0005315B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315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Ve státě Victoria a New </w:t>
            </w:r>
            <w:proofErr w:type="spellStart"/>
            <w:r w:rsidRPr="0005315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South</w:t>
            </w:r>
            <w:proofErr w:type="spellEnd"/>
            <w:r w:rsidRPr="0005315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Wales potom (</w:t>
            </w:r>
            <w:proofErr w:type="gramStart"/>
            <w:r w:rsidRPr="0005315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4 denní</w:t>
            </w:r>
            <w:proofErr w:type="gramEnd"/>
            <w:r w:rsidRPr="0005315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výlety):</w:t>
            </w:r>
          </w:p>
          <w:p w:rsidR="00542949" w:rsidRP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Alpine</w:t>
            </w:r>
            <w:proofErr w:type="spell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national</w:t>
            </w:r>
            <w:proofErr w:type="spell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park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200AUD/osobu ve více lidech</w:t>
            </w:r>
          </w:p>
          <w:p w:rsidR="00542949" w:rsidRP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Kosciuzco</w:t>
            </w:r>
            <w:proofErr w:type="spell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national</w:t>
            </w:r>
            <w:proofErr w:type="spell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park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300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AUD/osobu ve více lidech</w:t>
            </w:r>
          </w:p>
          <w:p w:rsidR="00542949" w:rsidRP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Grampians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200AUD/osobu ve více lidech</w:t>
            </w:r>
          </w:p>
          <w:p w:rsidR="00542949" w:rsidRP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Wilsons</w:t>
            </w:r>
            <w:proofErr w:type="spell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promontory</w:t>
            </w:r>
            <w:proofErr w:type="spell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national</w:t>
            </w:r>
            <w:proofErr w:type="spell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park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300AUD/osobu</w:t>
            </w:r>
          </w:p>
          <w:p w:rsidR="00542949" w:rsidRP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Roadtrip</w:t>
            </w:r>
            <w:proofErr w:type="spellEnd"/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 východním pobřeží až do Sydney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10 denní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výlet) 500AUD/osobu + půjčovna aut cca 300AUD</w:t>
            </w:r>
          </w:p>
          <w:p w:rsidR="00542949" w:rsidRP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Tasmánie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 dní 800AUD</w:t>
            </w:r>
          </w:p>
          <w:p w:rsidR="00542949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Sydney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 dní 900AUD</w:t>
            </w:r>
          </w:p>
          <w:p w:rsidR="0005315B" w:rsidRPr="0005315B" w:rsidRDefault="0005315B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05315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New </w:t>
            </w:r>
            <w:proofErr w:type="spellStart"/>
            <w:r w:rsidRPr="0005315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Zealand</w:t>
            </w:r>
            <w:proofErr w:type="spellEnd"/>
            <w:r w:rsidRPr="0005315B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27 dní 4000AUD </w:t>
            </w:r>
          </w:p>
        </w:tc>
      </w:tr>
    </w:tbl>
    <w:p w:rsidR="009D69D3" w:rsidRPr="00711FC2" w:rsidRDefault="009D69D3" w:rsidP="0005315B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Finance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Zdrojů s programu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(</w:t>
            </w:r>
            <w:proofErr w:type="gramEnd"/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87000,-Kč)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+ Osobních zdrojů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(90000)+ Mobilita 200 (72000,-Kč)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  <w:p w:rsidR="00542949" w:rsidRPr="00CE678C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Přibližně </w:t>
            </w:r>
            <w:r w:rsid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40000Kč/měsíčně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20000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10000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10000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Do jaké míry pokrylo stipendium z ČVUT Vaše výdaje během pobytu? (v %)</w:t>
            </w:r>
          </w:p>
          <w:p w:rsidR="00542949" w:rsidRPr="00CE678C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64</w:t>
            </w:r>
            <w:r w:rsidR="0054294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%</w:t>
            </w:r>
            <w:proofErr w:type="gram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Elektronicky na účet krátce po příletu do Melbourne.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Mobilita až po doložení závěrečné zprávy a potvrzení o podání publikace.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42949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42949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Doporučuji používání české platební karty na bezkontaktní platby (nicméně je třeba jednou za pár bezkontaktních udělat jednu kontaktní platbu a zadat PIN), téměř všechny podniky ve Victorii mají terminál. V případě, že budete dostávat výplatu doporučuji si zřídit účet u jedné z místních bank.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Dále se pro výhodný kurz nabízí služby dalších společností jako například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56616A" w:rsidRDefault="00077350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Platil/a jste zahraniční škole nějaké poplatky (za studentskou kartu, pojištění, kopírování, </w:t>
            </w:r>
            <w:proofErr w:type="gramStart"/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materiál,</w:t>
            </w:r>
            <w:proofErr w:type="gramEnd"/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apod.)?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Platil jsem pouze zdravotní pojištění univerzitě. cca 400 AUD.</w:t>
            </w:r>
            <w:r w:rsid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Nemusel jsem platit za spotřebovaný materiál v laboratoři a vyrobené přípravky. Je ode mě však očekávána publikace.</w:t>
            </w:r>
          </w:p>
        </w:tc>
      </w:tr>
    </w:tbl>
    <w:p w:rsidR="009D69D3" w:rsidRPr="00711FC2" w:rsidRDefault="009D69D3" w:rsidP="0005315B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Uznání_zahraničního_studia_domácí_školou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6616A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6616A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Kolik z nich Vám bylo domácí školou uznáno?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6616A" w:rsidRDefault="0033391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Z j</w:t>
            </w:r>
            <w:r w:rsidR="00711FC2"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uznány</w:t>
            </w: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(</w:t>
            </w:r>
            <w:proofErr w:type="gramEnd"/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povinné, povinně volitelné, volitelné)</w:t>
            </w:r>
            <w:r w:rsidR="00711FC2"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žádné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6616A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542949" w:rsidRPr="00CE678C" w:rsidRDefault="00542949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6616A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  <w:p w:rsidR="00542949" w:rsidRPr="00542949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 pořádku, žádným.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Pr="0056616A" w:rsidRDefault="00E12CE3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542949" w:rsidRPr="00CE678C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 dokumentům odevzdaným před výjezdem, zprávu z pobytu (tento dokument), potvrzení od externího školitele, že jsem se zúčastnil praxe a potvrzení o délce studia.</w:t>
            </w:r>
          </w:p>
        </w:tc>
      </w:tr>
    </w:tbl>
    <w:p w:rsidR="009D69D3" w:rsidRPr="00711FC2" w:rsidRDefault="009D69D3" w:rsidP="0005315B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9" w:name="Hodnocení_pobytu,_rady_a_doporučení"/>
      <w:bookmarkEnd w:id="9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6616A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odborný přínos studijního pobytu.</w:t>
            </w:r>
          </w:p>
          <w:p w:rsidR="0056616A" w:rsidRPr="00CE678C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Odborný přínos pro mé studium byl enormní. Vzhledem k rozvinutosti výzkumu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UniMelb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rozsahu jejich financování je už jen šestiměsíční právě v laboratoři na této univerzitě velkým odborným přínosem pro moje budoucí působení ve vědě.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6616A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osobní přínos studijního pobytu.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Během pobytu jsem potkal mnoho nových přátel, z nichž velká část by ráda v budoucnu navštívila Prahu. Mnoho mých kolegů doktorandů projevilo také zájem o spolupráci, což, vzhledem ke vzdálenosti je problematické, nicméně rád bych s nimi byl v kontaktu i nadále. Byl jsem mile</w:t>
            </w:r>
            <w:r w:rsidR="000531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překvapen</w:t>
            </w:r>
            <w:r w:rsidR="000531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ý</w:t>
            </w:r>
            <w:proofErr w:type="gramEnd"/>
            <w:r w:rsidR="000531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 jakou vstřícností a otevřeností jsem byl přivítán v kolektivu ECMP a jaké podpory se mi dostalo od všech členů týmu.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6616A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:rsidR="0056616A" w:rsidRPr="0056616A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 informacemi poskytnutými a podporou ze strany rektorátu jsem nadmíru spokojen, chtěl bych poděkovat zejména paní Boškové za trpělivost a cenné rady.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Ohodnoťte informace a podporu poskytnuté zahraniční </w:t>
            </w:r>
            <w:proofErr w:type="gramStart"/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školou </w:t>
            </w:r>
            <w:r w:rsidR="00755BEA"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- v</w:t>
            </w:r>
            <w:proofErr w:type="gramEnd"/>
            <w:r w:rsidR="00755BEA"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 případě nespokojenosti uveďte konkrétní nedostatky</w:t>
            </w:r>
          </w:p>
          <w:p w:rsidR="0056616A" w:rsidRPr="0056616A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S informacemi poskytnutými a podporou ze strany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oddělení pro vědu zahraniční univerzity jsem spokojen. Nevyskytly se žádné </w:t>
            </w:r>
            <w:r w:rsidR="000531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větší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nedostatky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to i přes časový posun a vlny veder, které zde probíhali v procesu podávání přihlášky.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Měl/a byste zájem o nějaký další pobyt v zahraničí?</w:t>
            </w:r>
          </w:p>
          <w:p w:rsidR="0056616A" w:rsidRPr="0056616A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Zájem bych měl, vzhledem k mému ročníku studia se ale dalšího pobytu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programem MBD</w:t>
            </w:r>
            <w:r w:rsidRP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největší pravděpodobností již nezúčastním.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56616A" w:rsidRPr="0056616A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Pokrok v komunikaci v cizí jazyce, rozšíření obzorů snad ve všech směrech.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56616A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56616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56616A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Nesetkal. 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05315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822644" w:rsidRPr="00CE678C" w:rsidRDefault="0056616A" w:rsidP="0005315B">
      <w:pPr>
        <w:jc w:val="both"/>
        <w:rPr>
          <w:rFonts w:asciiTheme="majorHAnsi" w:hAnsiTheme="majorHAnsi"/>
        </w:rPr>
      </w:pPr>
      <w:hyperlink r:id="rId9" w:history="1">
        <w:r>
          <w:rPr>
            <w:rFonts w:ascii="Helvetica Neue" w:hAnsi="Helvetica Neue" w:cs="Helvetica Neue"/>
            <w:color w:val="0000FF"/>
            <w:sz w:val="24"/>
            <w:szCs w:val="24"/>
            <w:lang w:val="en-GB"/>
          </w:rPr>
          <w:t>https://www.icloud.com/sharedalbum/#B0nGrq0zwGwHUL0</w:t>
        </w:r>
      </w:hyperlink>
    </w:p>
    <w:p w:rsidR="0005315B" w:rsidRPr="00CE678C" w:rsidRDefault="0005315B" w:rsidP="0005315B">
      <w:pPr>
        <w:jc w:val="both"/>
        <w:rPr>
          <w:rFonts w:asciiTheme="majorHAnsi" w:hAnsiTheme="majorHAnsi"/>
        </w:rPr>
      </w:pPr>
    </w:p>
    <w:sectPr w:rsidR="0005315B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5315B"/>
    <w:rsid w:val="00077350"/>
    <w:rsid w:val="00096D26"/>
    <w:rsid w:val="00316A86"/>
    <w:rsid w:val="00333919"/>
    <w:rsid w:val="004B736D"/>
    <w:rsid w:val="00542949"/>
    <w:rsid w:val="0056616A"/>
    <w:rsid w:val="00711FC2"/>
    <w:rsid w:val="00755BEA"/>
    <w:rsid w:val="00831986"/>
    <w:rsid w:val="00887907"/>
    <w:rsid w:val="008E10C0"/>
    <w:rsid w:val="009D69D3"/>
    <w:rsid w:val="00CB699C"/>
    <w:rsid w:val="00CE3BAE"/>
    <w:rsid w:val="00CE678C"/>
    <w:rsid w:val="00D26CCC"/>
    <w:rsid w:val="00E12CE3"/>
    <w:rsid w:val="00E76DCD"/>
    <w:rsid w:val="00E85AF4"/>
    <w:rsid w:val="00E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A22A6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429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29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31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tmatefinders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mi.homeaffairs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y.unimelb.edu.au/fin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y.unimelb.edu.au/find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legakis@unimelb.edu.au" TargetMode="External"/><Relationship Id="rId9" Type="http://schemas.openxmlformats.org/officeDocument/2006/relationships/hyperlink" Target="https://www.icloud.com/sharedalbum/#B0nGrq0zwGwHUL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Václav Procházka</cp:lastModifiedBy>
  <cp:revision>15</cp:revision>
  <cp:lastPrinted>2017-11-21T10:40:00Z</cp:lastPrinted>
  <dcterms:created xsi:type="dcterms:W3CDTF">2017-11-23T10:59:00Z</dcterms:created>
  <dcterms:modified xsi:type="dcterms:W3CDTF">2019-12-11T19:14:00Z</dcterms:modified>
</cp:coreProperties>
</file>