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1B" w:rsidRPr="003B0122" w:rsidRDefault="00BE521B" w:rsidP="00BE521B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44"/>
          <w:szCs w:val="44"/>
        </w:rPr>
      </w:pPr>
      <w:bookmarkStart w:id="0" w:name="_GoBack"/>
      <w:bookmarkEnd w:id="0"/>
      <w:r w:rsidRPr="003B0122">
        <w:rPr>
          <w:rFonts w:ascii="Times New Roman" w:eastAsia="ArialMT" w:hAnsi="Times New Roman" w:cs="Times New Roman"/>
          <w:b/>
          <w:sz w:val="44"/>
          <w:szCs w:val="44"/>
        </w:rPr>
        <w:t xml:space="preserve">Erasmus </w:t>
      </w:r>
      <w:proofErr w:type="spellStart"/>
      <w:r w:rsidRPr="003B0122">
        <w:rPr>
          <w:rFonts w:ascii="Times New Roman" w:eastAsia="ArialMT" w:hAnsi="Times New Roman" w:cs="Times New Roman"/>
          <w:b/>
          <w:sz w:val="44"/>
          <w:szCs w:val="44"/>
        </w:rPr>
        <w:t>Policy</w:t>
      </w:r>
      <w:proofErr w:type="spellEnd"/>
      <w:r w:rsidRPr="003B0122">
        <w:rPr>
          <w:rFonts w:ascii="Times New Roman" w:eastAsia="ArialMT" w:hAnsi="Times New Roman" w:cs="Times New Roman"/>
          <w:b/>
          <w:sz w:val="44"/>
          <w:szCs w:val="4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b/>
          <w:sz w:val="44"/>
          <w:szCs w:val="44"/>
        </w:rPr>
        <w:t>Statement</w:t>
      </w:r>
      <w:proofErr w:type="spellEnd"/>
      <w:r w:rsidRPr="003B0122">
        <w:rPr>
          <w:rFonts w:ascii="Times New Roman" w:eastAsia="ArialMT" w:hAnsi="Times New Roman" w:cs="Times New Roman"/>
          <w:sz w:val="44"/>
          <w:szCs w:val="44"/>
        </w:rPr>
        <w:t xml:space="preserve"> – </w:t>
      </w:r>
      <w:proofErr w:type="spellStart"/>
      <w:r>
        <w:rPr>
          <w:rFonts w:ascii="Times New Roman" w:eastAsia="ArialMT" w:hAnsi="Times New Roman" w:cs="Times New Roman"/>
          <w:sz w:val="44"/>
          <w:szCs w:val="44"/>
        </w:rPr>
        <w:t>English</w:t>
      </w:r>
      <w:proofErr w:type="spellEnd"/>
      <w:r>
        <w:rPr>
          <w:rFonts w:ascii="Times New Roman" w:eastAsia="ArialMT" w:hAnsi="Times New Roman" w:cs="Times New Roman"/>
          <w:sz w:val="44"/>
          <w:szCs w:val="44"/>
        </w:rPr>
        <w:t xml:space="preserve"> </w:t>
      </w:r>
      <w:proofErr w:type="spellStart"/>
      <w:r>
        <w:rPr>
          <w:rFonts w:ascii="Times New Roman" w:eastAsia="ArialMT" w:hAnsi="Times New Roman" w:cs="Times New Roman"/>
          <w:sz w:val="44"/>
          <w:szCs w:val="44"/>
        </w:rPr>
        <w:t>version</w:t>
      </w:r>
      <w:proofErr w:type="spellEnd"/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a) Erasmus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bilateral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CTU are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signed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: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¬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either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university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level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by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European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Office,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student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mobilities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under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code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no. 52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Engineering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Engineering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,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under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code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no. 34 Business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Administration</w:t>
      </w:r>
      <w:proofErr w:type="spellEnd"/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>-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level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mainly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under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codes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applying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a single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: 582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Building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Civil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Engineering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Civil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.),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521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Mechanics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Metal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Work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Mechanical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.), 522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Electricity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Energy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Electrical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.),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etc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more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specialized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fields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e.g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Geodesy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Cartography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Mathematics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Physics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negotiated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individual</w:t>
      </w:r>
      <w:proofErr w:type="spellEnd"/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departments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Contact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Person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responsible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approving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monitoring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bilateral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: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university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Institutional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Coordinator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Coordinator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When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assessing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selecting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partners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coordinator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works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closely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Vice-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deans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Education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International Relations,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heads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department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responsible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persons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aim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optimize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number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range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bilateral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each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field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study and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level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study,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taking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into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account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’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language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skills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Mobilities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teachers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are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usually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department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level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specific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mobilities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mind.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example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Civil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participates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two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Erasmus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Mundus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projects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collaborates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mainly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universities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consortia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these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master’s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also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partners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cooperating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on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considering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cooperating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on 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At university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level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European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Office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tries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sustain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bilateral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high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quality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universities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offer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wide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range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relevant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which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CTU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wish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study.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When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reviewing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are</w:t>
      </w:r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approaching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expiry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consider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what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use has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been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made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especially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numbers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outgoing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their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reports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on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their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experience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partner university.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try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extend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only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partners</w:t>
      </w:r>
      <w:proofErr w:type="spellEnd"/>
      <w:r w:rsid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offering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good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experience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satisfactory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administration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bilateral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new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partner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initiated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by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expression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interest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from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another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university, but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must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be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supported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by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personal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contacts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CTU and by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expression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interest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specific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wish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collaborate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from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b)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Due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available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language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skills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our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teaching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staff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prioritize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partners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offering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courses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taught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English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project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supervision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English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(UK,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Ireland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Scandinavia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Netherlands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etc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.)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also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have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important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partner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universities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Germany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France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Spain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CTU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show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little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interest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Poland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Slovakia,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Hungary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Romania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,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Bulgaria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Greece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Italy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Turkey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: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have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these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countries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but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are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used</w:t>
      </w:r>
      <w:proofErr w:type="spellEnd"/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mainly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by incoming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c)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biggest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proportion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our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Erasmus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are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master’s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(80-84 %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outgoing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SMS);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about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15% are in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bachelor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; PhD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smallest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group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university’s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interest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increasing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numbers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outgoing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PhD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stated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Long-term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Plan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Teacher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mobility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most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used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by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Civil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and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by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Nuclear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.; civil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engineers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mathematicians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make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fullest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use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opportunity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CTU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participates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11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consortia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joint/double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activity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will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continue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grow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future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type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collaboration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partners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offering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compatible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specified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as a priority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CTU Long-term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Plan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Civil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has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3 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agreements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ENPC Paris and EC Nantes (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French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language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),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TU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München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German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language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)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negotiating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KTH Stockholm.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Mechanical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has</w:t>
      </w:r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National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Chung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Hsing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Univ.,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Taiwan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preparing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Bandung Institute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</w:p>
    <w:p w:rsidR="00E41A1A" w:rsidRPr="003B0122" w:rsidRDefault="00E41A1A" w:rsidP="00E41A1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3B0122">
        <w:rPr>
          <w:rFonts w:ascii="Times New Roman" w:eastAsia="ArialMT" w:hAnsi="Times New Roman" w:cs="Times New Roman"/>
          <w:sz w:val="24"/>
          <w:szCs w:val="24"/>
        </w:rPr>
        <w:lastRenderedPageBreak/>
        <w:t xml:space="preserve">Technology,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Indonesia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also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has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Master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Automotive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Engineering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HAN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Arnhem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(NL) and ENSA Brest (FR),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abroad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under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Erasmus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Students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Electrical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study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Tomsk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Polytechnic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;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Linz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;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Lulea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Würzburg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="00BE521B" w:rsidRPr="003B0122">
        <w:rPr>
          <w:rFonts w:ascii="Times New Roman" w:eastAsia="ArialMT" w:hAnsi="Times New Roman" w:cs="Times New Roman"/>
          <w:sz w:val="24"/>
          <w:szCs w:val="24"/>
        </w:rPr>
        <w:t>O</w:t>
      </w:r>
      <w:r w:rsidRPr="003B0122">
        <w:rPr>
          <w:rFonts w:ascii="Times New Roman" w:eastAsia="ArialMT" w:hAnsi="Times New Roman" w:cs="Times New Roman"/>
          <w:sz w:val="24"/>
          <w:szCs w:val="24"/>
        </w:rPr>
        <w:t>f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Transportation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has double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degrees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FH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Technikum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Vienna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Linköping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Univ. (ITS-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Intelligent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Transport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Systems),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instruction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only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English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faculty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also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offers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programme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in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Transportation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Logistic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Systems in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collaboration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Univ. </w:t>
      </w:r>
      <w:proofErr w:type="spellStart"/>
      <w:proofErr w:type="gram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proofErr w:type="gram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Zilina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(SK)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Univ.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Texas, El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Paso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, USA.</w:t>
      </w:r>
    </w:p>
    <w:p w:rsidR="004F7E88" w:rsidRPr="003B0122" w:rsidRDefault="00E41A1A" w:rsidP="00BE5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While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CTU’s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mobilities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are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mainly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EU and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associated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countries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increasing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proportion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(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already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about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33%) are</w:t>
      </w:r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exchanges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rest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of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world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support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from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Erasmus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for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, CTU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looks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forward to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broader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collaboration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with</w:t>
      </w:r>
      <w:proofErr w:type="spellEnd"/>
      <w:r w:rsidR="00BE521B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leading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technical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universities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all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over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the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3B0122">
        <w:rPr>
          <w:rFonts w:ascii="Times New Roman" w:eastAsia="ArialMT" w:hAnsi="Times New Roman" w:cs="Times New Roman"/>
          <w:sz w:val="24"/>
          <w:szCs w:val="24"/>
        </w:rPr>
        <w:t>world</w:t>
      </w:r>
      <w:proofErr w:type="spellEnd"/>
      <w:r w:rsidRPr="003B0122">
        <w:rPr>
          <w:rFonts w:ascii="Times New Roman" w:eastAsia="ArialMT" w:hAnsi="Times New Roman" w:cs="Times New Roman"/>
          <w:sz w:val="24"/>
          <w:szCs w:val="24"/>
        </w:rPr>
        <w:t>.</w:t>
      </w:r>
    </w:p>
    <w:sectPr w:rsidR="004F7E88" w:rsidRPr="003B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1A"/>
    <w:rsid w:val="003B0122"/>
    <w:rsid w:val="004431FD"/>
    <w:rsid w:val="004F7E88"/>
    <w:rsid w:val="006E109C"/>
    <w:rsid w:val="00BE521B"/>
    <w:rsid w:val="00E4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aa aa</cp:lastModifiedBy>
  <cp:revision>3</cp:revision>
  <dcterms:created xsi:type="dcterms:W3CDTF">2014-01-10T08:18:00Z</dcterms:created>
  <dcterms:modified xsi:type="dcterms:W3CDTF">2014-01-10T08:18:00Z</dcterms:modified>
</cp:coreProperties>
</file>