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558"/>
      </w:tblGrid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743E6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CTU</w:t>
            </w:r>
            <w:r w:rsidR="00743E6A">
              <w:rPr>
                <w:rFonts w:eastAsia="Times New Roman" w:cs="Times New Roman"/>
                <w:lang w:eastAsia="cs-CZ"/>
              </w:rPr>
              <w:t>21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title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t>Talent Management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Czech Technical University in Prague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address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MIAS School of Business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1226F4">
              <w:rPr>
                <w:rFonts w:eastAsia="Times New Roman" w:cs="Times New Roman"/>
                <w:lang w:eastAsia="cs-CZ"/>
              </w:rPr>
              <w:t>Kolejní</w:t>
            </w:r>
            <w:proofErr w:type="spellEnd"/>
            <w:r w:rsidRPr="001226F4">
              <w:rPr>
                <w:rFonts w:eastAsia="Times New Roman" w:cs="Times New Roman"/>
                <w:lang w:eastAsia="cs-CZ"/>
              </w:rPr>
              <w:t xml:space="preserve"> 2637/2a, 160 00 Praha 6</w:t>
            </w:r>
            <w:r w:rsidR="006676C8" w:rsidRPr="001226F4">
              <w:rPr>
                <w:rFonts w:eastAsia="Times New Roman" w:cs="Times New Roman"/>
                <w:lang w:eastAsia="cs-CZ"/>
              </w:rPr>
              <w:t>, Czech Republic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Prague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year of study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2n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d year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level of English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Good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level of French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None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Key words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1226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Talent ,Talent Management, Identification, Attraction, Development, Retention, Recruitment, Personal Skills and Competencies</w:t>
            </w:r>
            <w:r w:rsidR="001226F4">
              <w:rPr>
                <w:rFonts w:eastAsia="Times New Roman" w:cs="Times New Roman"/>
                <w:lang w:eastAsia="cs-CZ"/>
              </w:rPr>
              <w:t>, E</w:t>
            </w:r>
            <w:r w:rsidR="001226F4" w:rsidRPr="001226F4">
              <w:rPr>
                <w:rFonts w:eastAsia="Times New Roman" w:cs="Times New Roman"/>
                <w:lang w:eastAsia="cs-CZ"/>
              </w:rPr>
              <w:t>mployability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English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Professor responsible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Miloš Krejčí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Telephone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107724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+420 775 401 577 (m)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743E6A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hyperlink r:id="rId4" w:history="1">
              <w:r w:rsidR="00107724" w:rsidRPr="001226F4">
                <w:rPr>
                  <w:rStyle w:val="Hypertextovodkaz"/>
                </w:rPr>
                <w:t>milos.krejci@cvut.cz</w:t>
              </w:r>
            </w:hyperlink>
            <w:r w:rsidR="00107724" w:rsidRPr="001226F4"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Participating professors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Number of places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10772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Minimum: </w:t>
            </w:r>
            <w:r w:rsidRPr="001226F4">
              <w:rPr>
                <w:rFonts w:eastAsia="Times New Roman" w:cs="Times New Roman"/>
                <w:u w:val="single"/>
                <w:lang w:eastAsia="cs-CZ"/>
              </w:rPr>
              <w:t>8</w:t>
            </w:r>
            <w:r w:rsidRPr="001226F4">
              <w:rPr>
                <w:rFonts w:eastAsia="Times New Roman" w:cs="Times New Roman"/>
                <w:lang w:eastAsia="cs-CZ"/>
              </w:rPr>
              <w:t xml:space="preserve">, Maximum: </w:t>
            </w:r>
            <w:r w:rsidR="00107724" w:rsidRPr="001226F4">
              <w:rPr>
                <w:rFonts w:eastAsia="Times New Roman" w:cs="Times New Roman"/>
                <w:lang w:eastAsia="cs-CZ"/>
              </w:rPr>
              <w:t>20</w:t>
            </w:r>
            <w:r w:rsidRPr="001226F4">
              <w:rPr>
                <w:rFonts w:eastAsia="Times New Roman" w:cs="Times New Roman"/>
                <w:lang w:eastAsia="cs-CZ"/>
              </w:rPr>
              <w:t xml:space="preserve">, Reserved for local students: </w:t>
            </w:r>
            <w:r w:rsidRPr="001226F4">
              <w:rPr>
                <w:rFonts w:eastAsia="Times New Roman" w:cs="Times New Roman"/>
                <w:u w:val="single"/>
                <w:lang w:eastAsia="cs-CZ"/>
              </w:rPr>
              <w:t>0</w:t>
            </w:r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Objectives</w:t>
            </w:r>
          </w:p>
        </w:tc>
        <w:tc>
          <w:tcPr>
            <w:tcW w:w="0" w:type="auto"/>
            <w:vAlign w:val="center"/>
            <w:hideMark/>
          </w:tcPr>
          <w:p w:rsidR="00107724" w:rsidRPr="001226F4" w:rsidRDefault="00107724" w:rsidP="0010772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At the end of the course students will understand modern approaches and trends of Talent Management in current global business environment. The emphasis is on identification and attraction of the talents </w:t>
            </w:r>
            <w:r w:rsidR="001226F4">
              <w:rPr>
                <w:rFonts w:eastAsia="Times New Roman" w:cs="Times New Roman"/>
                <w:lang w:eastAsia="cs-CZ"/>
              </w:rPr>
              <w:t>as well as</w:t>
            </w:r>
            <w:r w:rsidRPr="001226F4">
              <w:rPr>
                <w:rFonts w:eastAsia="Times New Roman" w:cs="Times New Roman"/>
                <w:lang w:eastAsia="cs-CZ"/>
              </w:rPr>
              <w:t xml:space="preserve"> further development of life</w:t>
            </w:r>
            <w:r w:rsidR="001226F4">
              <w:rPr>
                <w:rFonts w:eastAsia="Times New Roman" w:cs="Times New Roman"/>
                <w:lang w:eastAsia="cs-CZ"/>
              </w:rPr>
              <w:t>-long</w:t>
            </w:r>
            <w:r w:rsidRPr="001226F4">
              <w:rPr>
                <w:rFonts w:eastAsia="Times New Roman" w:cs="Times New Roman"/>
                <w:lang w:eastAsia="cs-CZ"/>
              </w:rPr>
              <w:t xml:space="preserve"> careers and their retention in order to increase Talents contribution to the competitiveness of the companies.</w:t>
            </w:r>
          </w:p>
          <w:p w:rsidR="00107724" w:rsidRPr="001226F4" w:rsidRDefault="00107724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Understanding the modern approaches and trends in Talent Management students will in parallel improve their skills in Recruiting Process and Employee / Employer Selection process as well as identification and presentation of their core </w:t>
            </w:r>
            <w:r w:rsidR="001226F4">
              <w:rPr>
                <w:rFonts w:eastAsia="Times New Roman" w:cs="Times New Roman"/>
                <w:lang w:eastAsia="cs-CZ"/>
              </w:rPr>
              <w:t xml:space="preserve">personal </w:t>
            </w:r>
            <w:r w:rsidRPr="001226F4">
              <w:rPr>
                <w:rFonts w:eastAsia="Times New Roman" w:cs="Times New Roman"/>
                <w:lang w:eastAsia="cs-CZ"/>
              </w:rPr>
              <w:t>competencies in order to succeed individually at the market and support their employability.</w:t>
            </w:r>
          </w:p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Programme to be followed</w:t>
            </w:r>
          </w:p>
        </w:tc>
        <w:tc>
          <w:tcPr>
            <w:tcW w:w="0" w:type="auto"/>
            <w:vAlign w:val="center"/>
            <w:hideMark/>
          </w:tcPr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Talent Management, individual preferences analyses and business </w:t>
            </w:r>
            <w:proofErr w:type="gramStart"/>
            <w:r w:rsidRPr="001226F4">
              <w:rPr>
                <w:rFonts w:eastAsia="Times New Roman" w:cs="Times New Roman"/>
                <w:lang w:eastAsia="cs-CZ"/>
              </w:rPr>
              <w:t>companies</w:t>
            </w:r>
            <w:proofErr w:type="gramEnd"/>
            <w:r w:rsidRPr="001226F4">
              <w:rPr>
                <w:rFonts w:eastAsia="Times New Roman" w:cs="Times New Roman"/>
                <w:lang w:eastAsia="cs-CZ"/>
              </w:rPr>
              <w:t xml:space="preserve"> expectations;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Talent and job performance;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Core personal skills and competencies – identification, development and presentation;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Self-presentation – individual student´s CV and the Letter of Interest;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Identification and Attraction of talents, Hiring Internally, Hiring Externally – current options</w:t>
            </w:r>
            <w:r w:rsidR="009B0196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The Recruitment Industry;</w:t>
            </w:r>
          </w:p>
          <w:p w:rsidR="009B0196" w:rsidRPr="001226F4" w:rsidRDefault="00864FEB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Recruitment and selection processes</w:t>
            </w:r>
            <w:r w:rsidR="009B0196" w:rsidRPr="001226F4">
              <w:rPr>
                <w:rFonts w:eastAsia="Times New Roman" w:cs="Times New Roman"/>
                <w:lang w:eastAsia="cs-CZ"/>
              </w:rPr>
              <w:t xml:space="preserve"> - Candidates recruitment process knowledge,</w:t>
            </w:r>
          </w:p>
          <w:p w:rsidR="00864FEB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Candidates selection process skills</w:t>
            </w:r>
            <w:r w:rsidR="00864FEB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Selection interviews</w:t>
            </w:r>
            <w:r w:rsidR="009B0196" w:rsidRPr="001226F4">
              <w:rPr>
                <w:rFonts w:eastAsia="Times New Roman" w:cs="Times New Roman"/>
                <w:lang w:eastAsia="cs-CZ"/>
              </w:rPr>
              <w:t xml:space="preserve"> – </w:t>
            </w:r>
            <w:proofErr w:type="gramStart"/>
            <w:r w:rsidR="009B0196" w:rsidRPr="001226F4">
              <w:rPr>
                <w:rFonts w:eastAsia="Times New Roman" w:cs="Times New Roman"/>
                <w:lang w:eastAsia="cs-CZ"/>
              </w:rPr>
              <w:t>candidates</w:t>
            </w:r>
            <w:proofErr w:type="gramEnd"/>
            <w:r w:rsidR="009B0196" w:rsidRPr="001226F4">
              <w:rPr>
                <w:rFonts w:eastAsia="Times New Roman" w:cs="Times New Roman"/>
                <w:lang w:eastAsia="cs-CZ"/>
              </w:rPr>
              <w:t xml:space="preserve"> preparation, role-plays</w:t>
            </w:r>
            <w:r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9B0196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Development of talents – feed-back session, career planning workshop</w:t>
            </w:r>
            <w:r w:rsidR="00864FEB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9B0196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Retention of talents – responding to individual preferences</w:t>
            </w:r>
            <w:r w:rsidR="004B70BD">
              <w:rPr>
                <w:rFonts w:eastAsia="Times New Roman" w:cs="Times New Roman"/>
                <w:lang w:eastAsia="cs-CZ"/>
              </w:rPr>
              <w:t>.</w:t>
            </w:r>
          </w:p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Prerequisites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Students are expected to prepare their own CV (Resume) </w:t>
            </w:r>
            <w:r w:rsidR="001226F4">
              <w:rPr>
                <w:rFonts w:eastAsia="Times New Roman" w:cs="Times New Roman"/>
                <w:lang w:eastAsia="cs-CZ"/>
              </w:rPr>
              <w:t>before arrival</w:t>
            </w:r>
            <w:r w:rsidR="004B70BD">
              <w:rPr>
                <w:rFonts w:eastAsia="Times New Roman" w:cs="Times New Roman"/>
                <w:lang w:eastAsia="cs-CZ"/>
              </w:rPr>
              <w:t xml:space="preserve">, </w:t>
            </w:r>
            <w:r w:rsidRPr="001226F4">
              <w:rPr>
                <w:rFonts w:eastAsia="Times New Roman" w:cs="Times New Roman"/>
                <w:lang w:eastAsia="cs-CZ"/>
              </w:rPr>
              <w:t>for in class review and update</w:t>
            </w:r>
            <w:r w:rsidR="004B70BD">
              <w:rPr>
                <w:rFonts w:eastAsia="Times New Roman" w:cs="Times New Roman"/>
                <w:lang w:eastAsia="cs-CZ"/>
              </w:rPr>
              <w:t xml:space="preserve"> during the course</w:t>
            </w:r>
            <w:r w:rsidRPr="001226F4">
              <w:rPr>
                <w:rFonts w:eastAsia="Times New Roman" w:cs="Times New Roman"/>
                <w:lang w:eastAsia="cs-CZ"/>
              </w:rPr>
              <w:t>.</w:t>
            </w:r>
          </w:p>
          <w:p w:rsidR="009B0196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Please bring your own laptop (tablet) to be able to </w:t>
            </w:r>
            <w:r w:rsidR="001226F4" w:rsidRPr="001226F4">
              <w:rPr>
                <w:rFonts w:eastAsia="Times New Roman" w:cs="Times New Roman"/>
                <w:lang w:eastAsia="cs-CZ"/>
              </w:rPr>
              <w:t>edit text files.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exam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E829B2" w:rsidP="004B70B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Individual preparation and presentation of own CV </w:t>
            </w:r>
            <w:r w:rsidR="001226F4" w:rsidRPr="001226F4">
              <w:rPr>
                <w:rFonts w:eastAsia="Times New Roman" w:cs="Times New Roman"/>
                <w:lang w:eastAsia="cs-CZ"/>
              </w:rPr>
              <w:t xml:space="preserve">and personal </w:t>
            </w:r>
            <w:r w:rsidRPr="001226F4">
              <w:rPr>
                <w:rFonts w:eastAsia="Times New Roman" w:cs="Times New Roman"/>
                <w:lang w:eastAsia="cs-CZ"/>
              </w:rPr>
              <w:t>competenc</w:t>
            </w:r>
            <w:r w:rsidR="004B70BD">
              <w:rPr>
                <w:rFonts w:eastAsia="Times New Roman" w:cs="Times New Roman"/>
                <w:lang w:eastAsia="cs-CZ"/>
              </w:rPr>
              <w:t>i</w:t>
            </w:r>
            <w:r w:rsidRPr="001226F4">
              <w:rPr>
                <w:rFonts w:eastAsia="Times New Roman" w:cs="Times New Roman"/>
                <w:lang w:eastAsia="cs-CZ"/>
              </w:rPr>
              <w:t>es</w:t>
            </w:r>
            <w:r w:rsidR="001226F4" w:rsidRPr="001226F4">
              <w:rPr>
                <w:rFonts w:eastAsia="Times New Roman" w:cs="Times New Roman"/>
                <w:lang w:eastAsia="cs-CZ"/>
              </w:rPr>
              <w:t>;</w:t>
            </w:r>
            <w:r w:rsidRPr="001226F4">
              <w:rPr>
                <w:rFonts w:eastAsia="Times New Roman" w:cs="Times New Roman"/>
                <w:lang w:eastAsia="cs-CZ"/>
              </w:rPr>
              <w:t xml:space="preserve"> in class workshops</w:t>
            </w:r>
            <w:r w:rsidR="004B70BD">
              <w:rPr>
                <w:rFonts w:eastAsia="Times New Roman" w:cs="Times New Roman"/>
                <w:lang w:eastAsia="cs-CZ"/>
              </w:rPr>
              <w:t xml:space="preserve"> participation</w:t>
            </w:r>
            <w:r w:rsidR="001226F4" w:rsidRPr="001226F4">
              <w:rPr>
                <w:rFonts w:eastAsia="Times New Roman" w:cs="Times New Roman"/>
                <w:lang w:eastAsia="cs-CZ"/>
              </w:rPr>
              <w:t>;</w:t>
            </w:r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  <w:r w:rsidR="001226F4" w:rsidRPr="001226F4">
              <w:rPr>
                <w:rFonts w:eastAsia="Times New Roman" w:cs="Times New Roman"/>
                <w:lang w:eastAsia="cs-CZ"/>
              </w:rPr>
              <w:t xml:space="preserve">final </w:t>
            </w:r>
            <w:r w:rsidRPr="001226F4">
              <w:rPr>
                <w:rFonts w:eastAsia="Times New Roman" w:cs="Times New Roman"/>
                <w:lang w:eastAsia="cs-CZ"/>
              </w:rPr>
              <w:t>test</w:t>
            </w:r>
            <w:r w:rsidR="004B70BD">
              <w:rPr>
                <w:rFonts w:eastAsia="Times New Roman" w:cs="Times New Roman"/>
                <w:lang w:eastAsia="cs-CZ"/>
              </w:rPr>
              <w:t>.</w:t>
            </w:r>
          </w:p>
        </w:tc>
      </w:tr>
      <w:tr w:rsidR="00743E6A" w:rsidRPr="00D74072" w:rsidTr="00743E6A">
        <w:trPr>
          <w:tblCellSpacing w:w="15" w:type="dxa"/>
        </w:trPr>
        <w:tc>
          <w:tcPr>
            <w:tcW w:w="0" w:type="auto"/>
            <w:hideMark/>
          </w:tcPr>
          <w:p w:rsidR="00743E6A" w:rsidRPr="00743E6A" w:rsidRDefault="00743E6A" w:rsidP="00743E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743E6A">
              <w:rPr>
                <w:rFonts w:eastAsia="Times New Roman" w:cs="Times New Roman"/>
                <w:b/>
                <w:bCs/>
                <w:lang w:eastAsia="cs-CZ"/>
              </w:rPr>
              <w:t>Session</w:t>
            </w:r>
          </w:p>
        </w:tc>
        <w:tc>
          <w:tcPr>
            <w:tcW w:w="0" w:type="auto"/>
            <w:vAlign w:val="center"/>
            <w:hideMark/>
          </w:tcPr>
          <w:p w:rsidR="00743E6A" w:rsidRPr="00743E6A" w:rsidRDefault="00743E6A" w:rsidP="00743E6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43E6A">
              <w:rPr>
                <w:rFonts w:eastAsia="Times New Roman" w:cs="Times New Roman"/>
                <w:lang w:eastAsia="cs-CZ"/>
              </w:rPr>
              <w:t>March 2017</w:t>
            </w:r>
          </w:p>
        </w:tc>
      </w:tr>
    </w:tbl>
    <w:p w:rsidR="00F42A4F" w:rsidRPr="001226F4" w:rsidRDefault="00743E6A">
      <w:bookmarkStart w:id="0" w:name="_GoBack"/>
      <w:bookmarkEnd w:id="0"/>
    </w:p>
    <w:sectPr w:rsidR="00F42A4F" w:rsidRPr="0012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8"/>
    <w:rsid w:val="00107724"/>
    <w:rsid w:val="001226F4"/>
    <w:rsid w:val="002F6A0C"/>
    <w:rsid w:val="004B70BD"/>
    <w:rsid w:val="006676C8"/>
    <w:rsid w:val="006A27C1"/>
    <w:rsid w:val="006C03A2"/>
    <w:rsid w:val="00743E6A"/>
    <w:rsid w:val="00864FEB"/>
    <w:rsid w:val="00994817"/>
    <w:rsid w:val="009B0196"/>
    <w:rsid w:val="00DC4E0A"/>
    <w:rsid w:val="00E829B2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78C4"/>
  <w15:docId w15:val="{78907139-B459-4705-A933-17A20E5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6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A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.krejci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Krejčí</dc:creator>
  <cp:lastModifiedBy>Mrkvickova, Dana</cp:lastModifiedBy>
  <cp:revision>3</cp:revision>
  <cp:lastPrinted>2016-12-02T07:00:00Z</cp:lastPrinted>
  <dcterms:created xsi:type="dcterms:W3CDTF">2016-12-02T07:01:00Z</dcterms:created>
  <dcterms:modified xsi:type="dcterms:W3CDTF">2016-12-15T09:49:00Z</dcterms:modified>
</cp:coreProperties>
</file>